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1F6FFC">
      <w:pPr>
        <w:pStyle w:val="8"/>
        <w:spacing w:before="11"/>
        <w:rPr>
          <w:rFonts w:ascii="Times New Roman"/>
          <w:sz w:val="28"/>
        </w:rPr>
      </w:pPr>
    </w:p>
    <w:p w14:paraId="79446FDA">
      <w:pPr>
        <w:spacing w:before="0" w:line="898" w:lineRule="exact"/>
        <w:ind w:left="569" w:right="0" w:firstLine="0"/>
        <w:jc w:val="center"/>
        <w:rPr>
          <w:rFonts w:hint="eastAsia" w:ascii="Times New Roman" w:hAnsi="Times New Roman" w:eastAsia="宋体" w:cs="Times New Roman"/>
          <w:b/>
          <w:sz w:val="72"/>
          <w:szCs w:val="24"/>
          <w:lang w:val="en-US" w:eastAsia="zh-CN"/>
        </w:rPr>
      </w:pPr>
    </w:p>
    <w:p w14:paraId="39392386">
      <w:pPr>
        <w:spacing w:before="0" w:line="898" w:lineRule="exact"/>
        <w:ind w:left="569" w:right="0" w:firstLine="0"/>
        <w:jc w:val="center"/>
        <w:rPr>
          <w:rFonts w:hint="eastAsia" w:ascii="Times New Roman" w:hAnsi="Times New Roman" w:eastAsia="宋体" w:cs="Times New Roman"/>
          <w:b/>
          <w:sz w:val="72"/>
          <w:szCs w:val="24"/>
          <w:lang w:val="en-US" w:eastAsia="zh-CN"/>
        </w:rPr>
      </w:pPr>
      <w:r>
        <w:rPr>
          <w:rFonts w:hint="eastAsia" w:ascii="Times New Roman" w:hAnsi="Times New Roman" w:eastAsia="宋体" w:cs="Times New Roman"/>
          <w:b/>
          <w:sz w:val="72"/>
          <w:szCs w:val="24"/>
          <w:lang w:val="en-US" w:eastAsia="zh-CN"/>
        </w:rPr>
        <w:t>特宏阀门集团有限公司</w:t>
      </w:r>
    </w:p>
    <w:p w14:paraId="3AD78D30">
      <w:pPr>
        <w:pStyle w:val="8"/>
        <w:spacing w:before="11"/>
        <w:rPr>
          <w:rFonts w:ascii="Times New Roman"/>
          <w:sz w:val="28"/>
        </w:rPr>
      </w:pPr>
    </w:p>
    <w:p w14:paraId="56F5E998">
      <w:pPr>
        <w:spacing w:before="0" w:line="898" w:lineRule="exact"/>
        <w:ind w:left="569" w:right="0" w:firstLine="0"/>
        <w:jc w:val="center"/>
        <w:rPr>
          <w:b/>
          <w:sz w:val="72"/>
        </w:rPr>
      </w:pPr>
      <w:r>
        <w:rPr>
          <w:b/>
          <w:sz w:val="72"/>
        </w:rPr>
        <w:t>社会责任报告</w:t>
      </w:r>
    </w:p>
    <w:p w14:paraId="7DB1962E">
      <w:pPr>
        <w:keepNext w:val="0"/>
        <w:keepLines w:val="0"/>
        <w:pageBreakBefore w:val="0"/>
        <w:widowControl w:val="0"/>
        <w:kinsoku/>
        <w:wordWrap/>
        <w:overflowPunct/>
        <w:topLinePunct w:val="0"/>
        <w:autoSpaceDE w:val="0"/>
        <w:autoSpaceDN w:val="0"/>
        <w:bidi w:val="0"/>
        <w:adjustRightInd/>
        <w:snapToGrid/>
        <w:spacing w:before="0" w:line="260" w:lineRule="auto"/>
        <w:ind w:right="0"/>
        <w:jc w:val="center"/>
        <w:textAlignment w:val="auto"/>
        <w:rPr>
          <w:rFonts w:hint="eastAsia"/>
          <w:spacing w:val="-37"/>
          <w:w w:val="95"/>
          <w:sz w:val="44"/>
          <w:lang w:eastAsia="zh-CN"/>
        </w:rPr>
      </w:pPr>
    </w:p>
    <w:p w14:paraId="1CE14745">
      <w:pPr>
        <w:keepNext w:val="0"/>
        <w:keepLines w:val="0"/>
        <w:pageBreakBefore w:val="0"/>
        <w:widowControl w:val="0"/>
        <w:kinsoku/>
        <w:wordWrap/>
        <w:overflowPunct/>
        <w:topLinePunct w:val="0"/>
        <w:autoSpaceDE w:val="0"/>
        <w:autoSpaceDN w:val="0"/>
        <w:bidi w:val="0"/>
        <w:adjustRightInd/>
        <w:snapToGrid/>
        <w:spacing w:before="0" w:line="260" w:lineRule="auto"/>
        <w:ind w:right="0"/>
        <w:jc w:val="center"/>
        <w:textAlignment w:val="auto"/>
        <w:rPr>
          <w:position w:val="-108"/>
        </w:rPr>
      </w:pPr>
      <w:r>
        <w:rPr>
          <w:position w:val="-108"/>
        </w:rPr>
        <w:drawing>
          <wp:anchor distT="0" distB="0" distL="114300" distR="114300" simplePos="0" relativeHeight="251660288" behindDoc="0" locked="0" layoutInCell="1" allowOverlap="1">
            <wp:simplePos x="0" y="0"/>
            <wp:positionH relativeFrom="column">
              <wp:posOffset>-525145</wp:posOffset>
            </wp:positionH>
            <wp:positionV relativeFrom="paragraph">
              <wp:posOffset>331470</wp:posOffset>
            </wp:positionV>
            <wp:extent cx="6429375" cy="3500120"/>
            <wp:effectExtent l="0" t="0" r="9525" b="5080"/>
            <wp:wrapTopAndBottom/>
            <wp:docPr id="3" name="图片 8"/>
            <wp:cNvGraphicFramePr/>
            <a:graphic xmlns:a="http://schemas.openxmlformats.org/drawingml/2006/main">
              <a:graphicData uri="http://schemas.openxmlformats.org/drawingml/2006/picture">
                <pic:pic xmlns:pic="http://schemas.openxmlformats.org/drawingml/2006/picture">
                  <pic:nvPicPr>
                    <pic:cNvPr id="3" name="图片 8"/>
                    <pic:cNvPicPr/>
                  </pic:nvPicPr>
                  <pic:blipFill>
                    <a:blip r:embed="rId10"/>
                    <a:stretch>
                      <a:fillRect/>
                    </a:stretch>
                  </pic:blipFill>
                  <pic:spPr>
                    <a:xfrm>
                      <a:off x="0" y="0"/>
                      <a:ext cx="6429375" cy="3500120"/>
                    </a:xfrm>
                    <a:prstGeom prst="rect">
                      <a:avLst/>
                    </a:prstGeom>
                    <a:noFill/>
                    <a:ln>
                      <a:noFill/>
                    </a:ln>
                  </pic:spPr>
                </pic:pic>
              </a:graphicData>
            </a:graphic>
          </wp:anchor>
        </w:drawing>
      </w:r>
    </w:p>
    <w:p w14:paraId="5DEC8FDF">
      <w:pPr>
        <w:keepNext w:val="0"/>
        <w:keepLines w:val="0"/>
        <w:pageBreakBefore w:val="0"/>
        <w:widowControl w:val="0"/>
        <w:kinsoku/>
        <w:wordWrap/>
        <w:overflowPunct/>
        <w:topLinePunct w:val="0"/>
        <w:autoSpaceDE w:val="0"/>
        <w:autoSpaceDN w:val="0"/>
        <w:bidi w:val="0"/>
        <w:adjustRightInd/>
        <w:snapToGrid/>
        <w:spacing w:before="0" w:line="260" w:lineRule="auto"/>
        <w:ind w:right="0"/>
        <w:jc w:val="center"/>
        <w:textAlignment w:val="auto"/>
        <w:rPr>
          <w:rFonts w:hint="eastAsia" w:eastAsia="宋体" w:cs="Times New Roman"/>
          <w:b/>
          <w:sz w:val="40"/>
          <w:szCs w:val="15"/>
          <w:lang w:val="en-US" w:eastAsia="zh-CN"/>
        </w:rPr>
        <w:sectPr>
          <w:footerReference r:id="rId3" w:type="default"/>
          <w:pgSz w:w="11910" w:h="16840"/>
          <w:pgMar w:top="1580" w:right="1300" w:bottom="1180" w:left="1680" w:header="0" w:footer="995" w:gutter="0"/>
          <w:pgBorders w:offsetFrom="page">
            <w:top w:val="none" w:sz="0" w:space="0"/>
            <w:left w:val="none" w:sz="0" w:space="0"/>
            <w:bottom w:val="none" w:sz="0" w:space="0"/>
            <w:right w:val="none" w:sz="0" w:space="0"/>
          </w:pgBorders>
          <w:cols w:space="720" w:num="1"/>
        </w:sectPr>
      </w:pPr>
      <w:r>
        <w:rPr>
          <w:rFonts w:hint="eastAsia" w:eastAsia="宋体" w:cs="Times New Roman"/>
          <w:b/>
          <w:sz w:val="40"/>
          <w:szCs w:val="15"/>
          <w:lang w:val="en-US" w:eastAsia="zh-CN"/>
        </w:rPr>
        <w:t>202</w:t>
      </w:r>
      <w:r>
        <w:rPr>
          <w:rFonts w:hint="eastAsia" w:cs="Times New Roman"/>
          <w:b/>
          <w:sz w:val="40"/>
          <w:szCs w:val="15"/>
          <w:lang w:val="en-US" w:eastAsia="zh-CN"/>
        </w:rPr>
        <w:t>6</w:t>
      </w:r>
      <w:r>
        <w:rPr>
          <w:rFonts w:hint="eastAsia" w:eastAsia="宋体" w:cs="Times New Roman"/>
          <w:b/>
          <w:sz w:val="40"/>
          <w:szCs w:val="15"/>
          <w:lang w:eastAsia="zh-CN"/>
        </w:rPr>
        <w:t>年</w:t>
      </w:r>
      <w:r>
        <w:rPr>
          <w:rFonts w:hint="eastAsia" w:eastAsia="宋体" w:cs="Times New Roman"/>
          <w:b/>
          <w:sz w:val="40"/>
          <w:szCs w:val="15"/>
          <w:lang w:val="en-US" w:eastAsia="zh-CN"/>
        </w:rPr>
        <w:t>度</w:t>
      </w:r>
    </w:p>
    <w:p w14:paraId="4E40E1EC">
      <w:pPr>
        <w:pStyle w:val="40"/>
        <w:spacing w:before="39"/>
        <w:ind w:right="4153"/>
        <w:jc w:val="both"/>
        <w:rPr>
          <w:lang w:eastAsia="zh-CN"/>
        </w:rPr>
      </w:pPr>
      <w:r>
        <w:rPr>
          <w:lang w:eastAsia="zh-CN"/>
        </w:rPr>
        <mc:AlternateContent>
          <mc:Choice Requires="wpg">
            <w:drawing>
              <wp:anchor distT="0" distB="0" distL="114300" distR="114300" simplePos="0" relativeHeight="251659264" behindDoc="1" locked="0" layoutInCell="1" allowOverlap="1">
                <wp:simplePos x="0" y="0"/>
                <wp:positionH relativeFrom="page">
                  <wp:posOffset>899160</wp:posOffset>
                </wp:positionH>
                <wp:positionV relativeFrom="paragraph">
                  <wp:posOffset>38100</wp:posOffset>
                </wp:positionV>
                <wp:extent cx="5888355" cy="1270"/>
                <wp:effectExtent l="0" t="0" r="0" b="0"/>
                <wp:wrapNone/>
                <wp:docPr id="2" name="组合 3"/>
                <wp:cNvGraphicFramePr/>
                <a:graphic xmlns:a="http://schemas.openxmlformats.org/drawingml/2006/main">
                  <a:graphicData uri="http://schemas.microsoft.com/office/word/2010/wordprocessingGroup">
                    <wpg:wgp>
                      <wpg:cNvGrpSpPr/>
                      <wpg:grpSpPr>
                        <a:xfrm>
                          <a:off x="0" y="0"/>
                          <a:ext cx="5888355" cy="1270"/>
                          <a:chOff x="1416" y="60"/>
                          <a:chExt cx="9273" cy="2203"/>
                        </a:xfrm>
                      </wpg:grpSpPr>
                      <wps:wsp>
                        <wps:cNvPr id="1" name="任意多边形 4"/>
                        <wps:cNvSpPr/>
                        <wps:spPr>
                          <a:xfrm>
                            <a:off x="1416" y="60"/>
                            <a:ext cx="9273" cy="2"/>
                          </a:xfrm>
                          <a:custGeom>
                            <a:avLst/>
                            <a:gdLst/>
                            <a:ahLst/>
                            <a:cxnLst/>
                            <a:pathLst>
                              <a:path w="9273">
                                <a:moveTo>
                                  <a:pt x="0" y="0"/>
                                </a:moveTo>
                                <a:lnTo>
                                  <a:pt x="9273" y="0"/>
                                </a:lnTo>
                              </a:path>
                            </a:pathLst>
                          </a:custGeom>
                          <a:noFill/>
                          <a:ln w="7366" cap="flat" cmpd="sng">
                            <a:solidFill>
                              <a:srgbClr val="000000"/>
                            </a:solidFill>
                            <a:prstDash val="solid"/>
                            <a:headEnd type="none" w="med" len="med"/>
                            <a:tailEnd type="none" w="med" len="med"/>
                          </a:ln>
                        </wps:spPr>
                        <wps:bodyPr wrap="square" upright="1"/>
                      </wps:wsp>
                    </wpg:wgp>
                  </a:graphicData>
                </a:graphic>
              </wp:anchor>
            </w:drawing>
          </mc:Choice>
          <mc:Fallback>
            <w:pict>
              <v:group id="组合 3" o:spid="_x0000_s1026" o:spt="203" style="position:absolute;left:0pt;margin-left:70.8pt;margin-top:3pt;height:0.1pt;width:463.65pt;mso-position-horizontal-relative:page;z-index:-251657216;mso-width-relative:page;mso-height-relative:page;" coordorigin="1416,60" coordsize="9273,2203" o:gfxdata="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">
                <o:lock v:ext="edit" aspectratio="f"/>
                <v:shape id="任意多边形 4" o:spid="_x0000_s1026" o:spt="100" style="position:absolute;left:1416;top:60;height:2;width:9273;" filled="f" stroked="t" coordsize="9273,1" o:gfxdata="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7x9u7sAAADa&#10;AAAADwAAAAAAAAABACAAAAAiAAAAZHJzL2Rvd25yZXYueG1sUEsBAhQAFAAAAAgAh07iQDMvBZ47&#10;AAAAOQAAABAAAAAAAAAAAQAgAAAACgEAAGRycy9zaGFwZXhtbC54bWxQSwUGAAAAAAYABgBbAQAA&#10;tAMAAAAA&#10;" path="m0,0l9273,0e">
                  <v:fill on="f" focussize="0,0"/>
                  <v:stroke weight="0.58pt" color="#000000" joinstyle="round"/>
                  <v:imagedata o:title=""/>
                  <o:lock v:ext="edit" aspectratio="f"/>
                </v:shape>
              </v:group>
            </w:pict>
          </mc:Fallback>
        </mc:AlternateContent>
      </w:r>
      <w:r>
        <w:rPr>
          <w:rFonts w:hint="eastAsia"/>
          <w:lang w:eastAsia="zh-CN"/>
        </w:rPr>
        <w:t>郑重声明</w:t>
      </w:r>
      <w:r>
        <w:rPr>
          <w:lang w:eastAsia="zh-CN"/>
        </w:rPr>
        <w:t>:</w:t>
      </w:r>
    </w:p>
    <w:p w14:paraId="336B51F2">
      <w:pPr>
        <w:spacing w:line="200" w:lineRule="exact"/>
        <w:rPr>
          <w:sz w:val="20"/>
          <w:szCs w:val="20"/>
        </w:rPr>
      </w:pPr>
    </w:p>
    <w:p w14:paraId="24AA1792">
      <w:pPr>
        <w:spacing w:line="200" w:lineRule="exact"/>
        <w:rPr>
          <w:sz w:val="20"/>
          <w:szCs w:val="20"/>
        </w:rPr>
      </w:pPr>
    </w:p>
    <w:p w14:paraId="5A89FD67">
      <w:pPr>
        <w:spacing w:before="7" w:line="200" w:lineRule="exact"/>
        <w:rPr>
          <w:rFonts w:hint="eastAsia"/>
          <w:sz w:val="20"/>
          <w:szCs w:val="20"/>
        </w:rPr>
      </w:pPr>
    </w:p>
    <w:p w14:paraId="3AAC06D9">
      <w:pPr>
        <w:spacing w:before="7" w:line="200" w:lineRule="exact"/>
        <w:rPr>
          <w:rFonts w:hint="eastAsia"/>
          <w:sz w:val="20"/>
          <w:szCs w:val="20"/>
        </w:rPr>
      </w:pPr>
    </w:p>
    <w:p w14:paraId="5C42D204">
      <w:pPr>
        <w:pStyle w:val="8"/>
        <w:spacing w:line="360" w:lineRule="auto"/>
        <w:ind w:left="227" w:right="454" w:firstLine="522"/>
        <w:jc w:val="both"/>
        <w:rPr>
          <w:sz w:val="28"/>
          <w:lang w:eastAsia="zh-CN"/>
        </w:rPr>
      </w:pPr>
      <w:r>
        <w:rPr>
          <w:rFonts w:hint="eastAsia"/>
          <w:w w:val="95"/>
          <w:sz w:val="28"/>
          <w:lang w:eastAsia="zh-CN"/>
        </w:rPr>
        <w:t>本公司</w:t>
      </w:r>
      <w:r>
        <w:rPr>
          <w:rFonts w:hint="eastAsia"/>
          <w:spacing w:val="1"/>
          <w:w w:val="95"/>
          <w:sz w:val="28"/>
          <w:lang w:eastAsia="zh-CN"/>
        </w:rPr>
        <w:t>出</w:t>
      </w:r>
      <w:r>
        <w:rPr>
          <w:rFonts w:hint="eastAsia"/>
          <w:w w:val="95"/>
          <w:sz w:val="28"/>
          <w:lang w:eastAsia="zh-CN"/>
        </w:rPr>
        <w:t>具的</w:t>
      </w:r>
      <w:r>
        <w:rPr>
          <w:rFonts w:hint="eastAsia"/>
          <w:spacing w:val="1"/>
          <w:w w:val="95"/>
          <w:sz w:val="28"/>
          <w:lang w:eastAsia="zh-CN"/>
        </w:rPr>
        <w:t>社会责任</w:t>
      </w:r>
      <w:r>
        <w:rPr>
          <w:rFonts w:hint="eastAsia"/>
          <w:w w:val="95"/>
          <w:sz w:val="28"/>
          <w:lang w:eastAsia="zh-CN"/>
        </w:rPr>
        <w:t>报告</w:t>
      </w:r>
      <w:r>
        <w:rPr>
          <w:rFonts w:hint="eastAsia"/>
          <w:spacing w:val="-36"/>
          <w:w w:val="95"/>
          <w:sz w:val="28"/>
          <w:lang w:eastAsia="zh-CN"/>
        </w:rPr>
        <w:t>，</w:t>
      </w:r>
      <w:r>
        <w:rPr>
          <w:rFonts w:hint="eastAsia"/>
          <w:spacing w:val="1"/>
          <w:w w:val="95"/>
          <w:sz w:val="28"/>
          <w:lang w:eastAsia="zh-CN"/>
        </w:rPr>
        <w:t>是</w:t>
      </w:r>
      <w:r>
        <w:rPr>
          <w:rFonts w:hint="eastAsia"/>
          <w:w w:val="95"/>
          <w:sz w:val="28"/>
          <w:lang w:eastAsia="zh-CN"/>
        </w:rPr>
        <w:t>依据</w:t>
      </w:r>
      <w:r>
        <w:rPr>
          <w:rFonts w:hint="eastAsia"/>
          <w:spacing w:val="1"/>
          <w:w w:val="95"/>
          <w:sz w:val="28"/>
          <w:lang w:eastAsia="zh-CN"/>
        </w:rPr>
        <w:t>国家</w:t>
      </w:r>
      <w:r>
        <w:rPr>
          <w:rFonts w:hint="eastAsia"/>
          <w:w w:val="95"/>
          <w:sz w:val="28"/>
          <w:lang w:eastAsia="zh-CN"/>
        </w:rPr>
        <w:t>有关法律</w:t>
      </w:r>
      <w:r>
        <w:rPr>
          <w:rFonts w:hint="eastAsia"/>
          <w:spacing w:val="1"/>
          <w:w w:val="95"/>
          <w:sz w:val="28"/>
          <w:lang w:eastAsia="zh-CN"/>
        </w:rPr>
        <w:t>法规</w:t>
      </w:r>
      <w:r>
        <w:rPr>
          <w:rFonts w:hint="eastAsia"/>
          <w:w w:val="95"/>
          <w:sz w:val="28"/>
          <w:lang w:eastAsia="zh-CN"/>
        </w:rPr>
        <w:t>及相关国家标</w:t>
      </w:r>
      <w:r>
        <w:rPr>
          <w:rFonts w:hint="eastAsia"/>
          <w:spacing w:val="1"/>
          <w:w w:val="95"/>
          <w:sz w:val="28"/>
          <w:lang w:eastAsia="zh-CN"/>
        </w:rPr>
        <w:t>准</w:t>
      </w:r>
      <w:r>
        <w:rPr>
          <w:rFonts w:hint="eastAsia"/>
          <w:w w:val="95"/>
          <w:sz w:val="28"/>
          <w:lang w:eastAsia="zh-CN"/>
        </w:rPr>
        <w:t>进</w:t>
      </w:r>
      <w:r>
        <w:rPr>
          <w:rFonts w:hint="eastAsia"/>
          <w:spacing w:val="1"/>
          <w:w w:val="95"/>
          <w:sz w:val="28"/>
          <w:lang w:eastAsia="zh-CN"/>
        </w:rPr>
        <w:t>行</w:t>
      </w:r>
      <w:r>
        <w:rPr>
          <w:rFonts w:hint="eastAsia"/>
          <w:w w:val="95"/>
          <w:sz w:val="28"/>
          <w:lang w:eastAsia="zh-CN"/>
        </w:rPr>
        <w:t>编写</w:t>
      </w:r>
      <w:r>
        <w:rPr>
          <w:rFonts w:hint="eastAsia"/>
          <w:spacing w:val="-51"/>
          <w:w w:val="95"/>
          <w:sz w:val="28"/>
          <w:lang w:eastAsia="zh-CN"/>
        </w:rPr>
        <w:t>。</w:t>
      </w:r>
      <w:r>
        <w:rPr>
          <w:rFonts w:hint="eastAsia"/>
          <w:w w:val="95"/>
          <w:sz w:val="28"/>
          <w:lang w:eastAsia="zh-CN"/>
        </w:rPr>
        <w:t>报</w:t>
      </w:r>
      <w:r>
        <w:rPr>
          <w:rFonts w:hint="eastAsia"/>
          <w:spacing w:val="1"/>
          <w:w w:val="95"/>
          <w:sz w:val="28"/>
          <w:lang w:eastAsia="zh-CN"/>
        </w:rPr>
        <w:t>告</w:t>
      </w:r>
      <w:r>
        <w:rPr>
          <w:rFonts w:hint="eastAsia"/>
          <w:w w:val="95"/>
          <w:sz w:val="28"/>
          <w:lang w:eastAsia="zh-CN"/>
        </w:rPr>
        <w:t>中关于企业</w:t>
      </w:r>
      <w:r>
        <w:rPr>
          <w:rFonts w:hint="eastAsia"/>
          <w:spacing w:val="1"/>
          <w:w w:val="95"/>
          <w:sz w:val="28"/>
          <w:lang w:eastAsia="zh-CN"/>
        </w:rPr>
        <w:t>社会责任内容、管</w:t>
      </w:r>
      <w:r>
        <w:rPr>
          <w:rFonts w:hint="eastAsia"/>
          <w:w w:val="95"/>
          <w:sz w:val="28"/>
          <w:lang w:eastAsia="zh-CN"/>
        </w:rPr>
        <w:t>理情况</w:t>
      </w:r>
      <w:r>
        <w:rPr>
          <w:rFonts w:hint="eastAsia"/>
          <w:w w:val="99"/>
          <w:sz w:val="28"/>
          <w:lang w:eastAsia="zh-CN"/>
        </w:rPr>
        <w:t>等</w:t>
      </w:r>
      <w:r>
        <w:rPr>
          <w:rFonts w:hint="eastAsia"/>
          <w:w w:val="95"/>
          <w:sz w:val="28"/>
          <w:lang w:eastAsia="zh-CN"/>
        </w:rPr>
        <w:t>是公司</w:t>
      </w:r>
      <w:r>
        <w:rPr>
          <w:rFonts w:hint="eastAsia"/>
          <w:spacing w:val="1"/>
          <w:w w:val="95"/>
          <w:sz w:val="28"/>
          <w:lang w:eastAsia="zh-CN"/>
        </w:rPr>
        <w:t>现</w:t>
      </w:r>
      <w:r>
        <w:rPr>
          <w:rFonts w:hint="eastAsia"/>
          <w:w w:val="95"/>
          <w:sz w:val="28"/>
          <w:lang w:eastAsia="zh-CN"/>
        </w:rPr>
        <w:t>状的</w:t>
      </w:r>
      <w:r>
        <w:rPr>
          <w:rFonts w:hint="eastAsia"/>
          <w:spacing w:val="1"/>
          <w:w w:val="95"/>
          <w:sz w:val="28"/>
          <w:lang w:eastAsia="zh-CN"/>
        </w:rPr>
        <w:t>真</w:t>
      </w:r>
      <w:r>
        <w:rPr>
          <w:rFonts w:hint="eastAsia"/>
          <w:w w:val="95"/>
          <w:sz w:val="28"/>
          <w:lang w:eastAsia="zh-CN"/>
        </w:rPr>
        <w:t>实</w:t>
      </w:r>
      <w:r>
        <w:rPr>
          <w:rFonts w:hint="eastAsia"/>
          <w:spacing w:val="1"/>
          <w:w w:val="95"/>
          <w:sz w:val="28"/>
          <w:lang w:eastAsia="zh-CN"/>
        </w:rPr>
        <w:t>反</w:t>
      </w:r>
      <w:r>
        <w:rPr>
          <w:rFonts w:hint="eastAsia"/>
          <w:w w:val="95"/>
          <w:sz w:val="28"/>
          <w:lang w:eastAsia="zh-CN"/>
        </w:rPr>
        <w:t>映。本</w:t>
      </w:r>
      <w:r>
        <w:rPr>
          <w:rFonts w:hint="eastAsia"/>
          <w:spacing w:val="1"/>
          <w:w w:val="95"/>
          <w:sz w:val="28"/>
          <w:lang w:eastAsia="zh-CN"/>
        </w:rPr>
        <w:t>公</w:t>
      </w:r>
      <w:r>
        <w:rPr>
          <w:rFonts w:hint="eastAsia"/>
          <w:w w:val="95"/>
          <w:sz w:val="28"/>
          <w:lang w:eastAsia="zh-CN"/>
        </w:rPr>
        <w:t>司对</w:t>
      </w:r>
      <w:r>
        <w:rPr>
          <w:rFonts w:hint="eastAsia"/>
          <w:spacing w:val="1"/>
          <w:w w:val="95"/>
          <w:sz w:val="28"/>
          <w:lang w:eastAsia="zh-CN"/>
        </w:rPr>
        <w:t>报</w:t>
      </w:r>
      <w:r>
        <w:rPr>
          <w:rFonts w:hint="eastAsia"/>
          <w:w w:val="95"/>
          <w:sz w:val="28"/>
          <w:lang w:eastAsia="zh-CN"/>
        </w:rPr>
        <w:t>告</w:t>
      </w:r>
      <w:r>
        <w:rPr>
          <w:rFonts w:hint="eastAsia"/>
          <w:spacing w:val="1"/>
          <w:w w:val="95"/>
          <w:sz w:val="28"/>
          <w:lang w:eastAsia="zh-CN"/>
        </w:rPr>
        <w:t>内</w:t>
      </w:r>
      <w:r>
        <w:rPr>
          <w:rFonts w:hint="eastAsia"/>
          <w:w w:val="95"/>
          <w:sz w:val="28"/>
          <w:lang w:eastAsia="zh-CN"/>
        </w:rPr>
        <w:t>容的真实性及相关论证的科学性</w:t>
      </w:r>
      <w:r>
        <w:rPr>
          <w:rFonts w:hint="eastAsia"/>
          <w:sz w:val="28"/>
          <w:lang w:eastAsia="zh-CN"/>
        </w:rPr>
        <w:t>负</w:t>
      </w:r>
      <w:r>
        <w:rPr>
          <w:rFonts w:hint="eastAsia"/>
          <w:spacing w:val="2"/>
          <w:sz w:val="28"/>
          <w:lang w:eastAsia="zh-CN"/>
        </w:rPr>
        <w:t>责</w:t>
      </w:r>
      <w:r>
        <w:rPr>
          <w:rFonts w:hint="eastAsia"/>
          <w:sz w:val="28"/>
          <w:lang w:eastAsia="zh-CN"/>
        </w:rPr>
        <w:t>。</w:t>
      </w:r>
    </w:p>
    <w:p w14:paraId="7F649925">
      <w:pPr>
        <w:spacing w:before="10" w:line="130" w:lineRule="exact"/>
        <w:rPr>
          <w:sz w:val="13"/>
          <w:szCs w:val="13"/>
        </w:rPr>
      </w:pPr>
    </w:p>
    <w:p w14:paraId="15160007">
      <w:pPr>
        <w:spacing w:line="200" w:lineRule="exact"/>
        <w:rPr>
          <w:sz w:val="20"/>
          <w:szCs w:val="20"/>
        </w:rPr>
      </w:pPr>
    </w:p>
    <w:p w14:paraId="7E5234D3">
      <w:pPr>
        <w:spacing w:line="200" w:lineRule="exact"/>
        <w:rPr>
          <w:sz w:val="20"/>
          <w:szCs w:val="20"/>
        </w:rPr>
      </w:pPr>
    </w:p>
    <w:p w14:paraId="52992572">
      <w:pPr>
        <w:spacing w:line="200" w:lineRule="exact"/>
        <w:rPr>
          <w:sz w:val="20"/>
          <w:szCs w:val="20"/>
        </w:rPr>
      </w:pPr>
    </w:p>
    <w:p w14:paraId="5B86D2D0">
      <w:pPr>
        <w:spacing w:line="200" w:lineRule="exact"/>
        <w:rPr>
          <w:sz w:val="20"/>
          <w:szCs w:val="20"/>
        </w:rPr>
      </w:pPr>
    </w:p>
    <w:p w14:paraId="4AD72EF5">
      <w:pPr>
        <w:spacing w:line="200" w:lineRule="exact"/>
        <w:rPr>
          <w:sz w:val="20"/>
          <w:szCs w:val="20"/>
        </w:rPr>
      </w:pPr>
    </w:p>
    <w:p w14:paraId="53CA8F07">
      <w:pPr>
        <w:spacing w:line="200" w:lineRule="exact"/>
        <w:rPr>
          <w:sz w:val="20"/>
          <w:szCs w:val="20"/>
        </w:rPr>
      </w:pPr>
    </w:p>
    <w:p w14:paraId="2E006921">
      <w:pPr>
        <w:spacing w:line="200" w:lineRule="exact"/>
        <w:rPr>
          <w:sz w:val="20"/>
          <w:szCs w:val="20"/>
        </w:rPr>
      </w:pPr>
    </w:p>
    <w:p w14:paraId="284F4F50">
      <w:pPr>
        <w:pStyle w:val="8"/>
        <w:ind w:left="0"/>
        <w:rPr>
          <w:sz w:val="24"/>
          <w:szCs w:val="24"/>
          <w:lang w:eastAsia="zh-CN"/>
        </w:rPr>
      </w:pPr>
      <w:r>
        <w:rPr>
          <w:rFonts w:hint="eastAsia"/>
          <w:b/>
          <w:sz w:val="24"/>
          <w:szCs w:val="24"/>
          <w:lang w:val="en-US" w:eastAsia="zh-CN"/>
        </w:rPr>
        <w:t>特宏阀门集团</w:t>
      </w:r>
      <w:r>
        <w:rPr>
          <w:rFonts w:hint="eastAsia"/>
          <w:b/>
          <w:sz w:val="24"/>
          <w:szCs w:val="24"/>
          <w:lang w:eastAsia="zh-CN"/>
        </w:rPr>
        <w:t>有限公司</w:t>
      </w:r>
    </w:p>
    <w:p w14:paraId="42AFAFF0">
      <w:pPr>
        <w:pStyle w:val="8"/>
        <w:spacing w:before="53"/>
        <w:ind w:left="0"/>
        <w:rPr>
          <w:rFonts w:ascii="黑体" w:hAnsi="黑体" w:eastAsia="黑体" w:cs="黑体"/>
          <w:lang w:eastAsia="zh-CN"/>
        </w:rPr>
      </w:pPr>
    </w:p>
    <w:p w14:paraId="4573AF2C">
      <w:pPr>
        <w:pStyle w:val="8"/>
        <w:spacing w:before="53"/>
        <w:ind w:left="0"/>
        <w:rPr>
          <w:rFonts w:ascii="黑体" w:hAnsi="黑体" w:eastAsia="黑体" w:cs="黑体"/>
          <w:lang w:eastAsia="zh-CN"/>
        </w:rPr>
      </w:pPr>
    </w:p>
    <w:p w14:paraId="53D61D1F">
      <w:pPr>
        <w:pStyle w:val="8"/>
        <w:spacing w:before="53"/>
        <w:ind w:left="0"/>
        <w:rPr>
          <w:rFonts w:ascii="黑体" w:hAnsi="黑体" w:eastAsia="黑体" w:cs="黑体"/>
          <w:lang w:eastAsia="zh-CN"/>
        </w:rPr>
      </w:pPr>
    </w:p>
    <w:p w14:paraId="21CFDCDD">
      <w:pPr>
        <w:pStyle w:val="8"/>
        <w:spacing w:before="53"/>
        <w:ind w:left="0"/>
        <w:rPr>
          <w:rFonts w:ascii="黑体" w:hAnsi="黑体" w:eastAsia="黑体" w:cs="黑体"/>
          <w:lang w:eastAsia="zh-CN"/>
        </w:rPr>
      </w:pPr>
    </w:p>
    <w:p w14:paraId="0CD4D185">
      <w:pPr>
        <w:pStyle w:val="8"/>
        <w:spacing w:before="53"/>
        <w:ind w:left="0"/>
        <w:rPr>
          <w:rFonts w:ascii="黑体" w:hAnsi="黑体" w:eastAsia="黑体" w:cs="黑体"/>
          <w:lang w:eastAsia="zh-CN"/>
        </w:rPr>
      </w:pPr>
    </w:p>
    <w:p w14:paraId="77B9E9DF">
      <w:pPr>
        <w:pStyle w:val="8"/>
        <w:spacing w:before="53"/>
        <w:ind w:left="0"/>
        <w:rPr>
          <w:rFonts w:ascii="黑体" w:hAnsi="黑体" w:eastAsia="黑体" w:cs="黑体"/>
          <w:lang w:eastAsia="zh-CN"/>
        </w:rPr>
      </w:pPr>
    </w:p>
    <w:p w14:paraId="2000F8A9">
      <w:pPr>
        <w:pStyle w:val="8"/>
        <w:spacing w:before="53"/>
        <w:ind w:left="0"/>
        <w:rPr>
          <w:lang w:eastAsia="zh-CN"/>
        </w:rPr>
      </w:pPr>
    </w:p>
    <w:p w14:paraId="2F4AC1D0">
      <w:pPr>
        <w:spacing w:before="6" w:line="110" w:lineRule="exact"/>
        <w:rPr>
          <w:sz w:val="11"/>
          <w:szCs w:val="11"/>
        </w:rPr>
      </w:pPr>
    </w:p>
    <w:p w14:paraId="2D3E2998">
      <w:pPr>
        <w:pStyle w:val="8"/>
        <w:ind w:left="0"/>
        <w:rPr>
          <w:lang w:eastAsia="zh-CN"/>
        </w:rPr>
      </w:pPr>
      <w:r>
        <w:rPr>
          <w:rFonts w:hint="eastAsia" w:ascii="黑体" w:hAnsi="黑体" w:eastAsia="黑体" w:cs="黑体"/>
          <w:lang w:eastAsia="zh-CN"/>
        </w:rPr>
        <w:t>报告时</w:t>
      </w:r>
      <w:r>
        <w:rPr>
          <w:rFonts w:hint="eastAsia" w:ascii="黑体" w:hAnsi="黑体" w:eastAsia="黑体" w:cs="黑体"/>
          <w:spacing w:val="2"/>
          <w:lang w:eastAsia="zh-CN"/>
        </w:rPr>
        <w:t>间</w:t>
      </w:r>
      <w:r>
        <w:rPr>
          <w:rFonts w:hint="eastAsia" w:ascii="黑体" w:hAnsi="黑体" w:eastAsia="黑体" w:cs="黑体"/>
          <w:lang w:eastAsia="zh-CN"/>
        </w:rPr>
        <w:t>：</w:t>
      </w:r>
      <w:r>
        <w:rPr>
          <w:rFonts w:cs="宋体"/>
          <w:lang w:eastAsia="zh-CN"/>
        </w:rPr>
        <w:t>20</w:t>
      </w:r>
      <w:r>
        <w:rPr>
          <w:rFonts w:hint="eastAsia" w:cs="宋体"/>
          <w:lang w:val="en-US" w:eastAsia="zh-CN"/>
        </w:rPr>
        <w:t>26</w:t>
      </w:r>
      <w:bookmarkStart w:id="27" w:name="_GoBack"/>
      <w:bookmarkEnd w:id="27"/>
      <w:r>
        <w:rPr>
          <w:rFonts w:hint="eastAsia"/>
          <w:lang w:eastAsia="zh-CN"/>
        </w:rPr>
        <w:t>年</w:t>
      </w:r>
      <w:r>
        <w:rPr>
          <w:rFonts w:hint="eastAsia"/>
          <w:lang w:val="en-US" w:eastAsia="zh-CN"/>
        </w:rPr>
        <w:t>3</w:t>
      </w:r>
      <w:r>
        <w:rPr>
          <w:rFonts w:hint="eastAsia"/>
          <w:lang w:eastAsia="zh-CN"/>
        </w:rPr>
        <w:t>月</w:t>
      </w:r>
    </w:p>
    <w:p w14:paraId="4EA942CB">
      <w:pPr>
        <w:spacing w:before="6" w:line="110" w:lineRule="exact"/>
        <w:rPr>
          <w:sz w:val="11"/>
          <w:szCs w:val="11"/>
        </w:rPr>
      </w:pPr>
    </w:p>
    <w:p w14:paraId="61756C88">
      <w:pPr>
        <w:pStyle w:val="8"/>
        <w:ind w:left="0"/>
        <w:rPr>
          <w:lang w:eastAsia="zh-CN"/>
        </w:rPr>
      </w:pPr>
      <w:r>
        <w:rPr>
          <w:rFonts w:hint="eastAsia" w:ascii="黑体" w:hAnsi="黑体" w:eastAsia="黑体" w:cs="黑体"/>
          <w:lang w:eastAsia="zh-CN"/>
        </w:rPr>
        <w:t>发布周</w:t>
      </w:r>
      <w:r>
        <w:rPr>
          <w:rFonts w:hint="eastAsia" w:ascii="黑体" w:hAnsi="黑体" w:eastAsia="黑体" w:cs="黑体"/>
          <w:spacing w:val="2"/>
          <w:lang w:eastAsia="zh-CN"/>
        </w:rPr>
        <w:t>期</w:t>
      </w:r>
      <w:r>
        <w:rPr>
          <w:rFonts w:ascii="黑体" w:hAnsi="黑体" w:eastAsia="黑体" w:cs="黑体"/>
          <w:lang w:eastAsia="zh-CN"/>
        </w:rPr>
        <w:t>:</w:t>
      </w:r>
      <w:r>
        <w:rPr>
          <w:rFonts w:hint="eastAsia"/>
          <w:lang w:eastAsia="zh-CN"/>
        </w:rPr>
        <w:t>一年</w:t>
      </w:r>
    </w:p>
    <w:p w14:paraId="00EB5798">
      <w:pPr>
        <w:spacing w:before="9" w:line="110" w:lineRule="exact"/>
        <w:rPr>
          <w:sz w:val="11"/>
          <w:szCs w:val="11"/>
        </w:rPr>
      </w:pPr>
    </w:p>
    <w:p w14:paraId="2F999ED5">
      <w:pPr>
        <w:ind w:firstLine="2560" w:firstLineChars="800"/>
        <w:rPr>
          <w:rFonts w:hint="eastAsia"/>
          <w:sz w:val="32"/>
          <w:szCs w:val="32"/>
        </w:rPr>
      </w:pPr>
    </w:p>
    <w:p w14:paraId="11D4F25D">
      <w:pPr>
        <w:ind w:firstLine="2560" w:firstLineChars="800"/>
        <w:rPr>
          <w:rFonts w:hint="eastAsia"/>
          <w:sz w:val="32"/>
          <w:szCs w:val="32"/>
        </w:rPr>
      </w:pPr>
    </w:p>
    <w:p w14:paraId="4BA917C0">
      <w:pPr>
        <w:rPr>
          <w:rFonts w:hint="eastAsia"/>
          <w:sz w:val="48"/>
          <w:szCs w:val="48"/>
        </w:rPr>
      </w:pPr>
    </w:p>
    <w:p w14:paraId="2B7C3D17">
      <w:pPr>
        <w:pStyle w:val="42"/>
        <w:ind w:firstLine="3975" w:firstLineChars="1100"/>
        <w:rPr>
          <w:b/>
          <w:color w:val="auto"/>
          <w:sz w:val="36"/>
          <w:szCs w:val="36"/>
        </w:rPr>
      </w:pPr>
      <w:r>
        <w:rPr>
          <w:rFonts w:hint="eastAsia"/>
          <w:b/>
          <w:color w:val="auto"/>
          <w:sz w:val="36"/>
          <w:szCs w:val="36"/>
          <w:lang w:val="zh-CN"/>
        </w:rPr>
        <w:t>目录</w:t>
      </w:r>
    </w:p>
    <w:p w14:paraId="3DAB5D21"/>
    <w:p w14:paraId="41C6D544">
      <w:pPr>
        <w:jc w:val="left"/>
      </w:pPr>
      <w:r>
        <w:fldChar w:fldCharType="begin"/>
      </w:r>
      <w:r>
        <w:instrText xml:space="preserve"> TOC \o "1-3" \h \z \u </w:instrText>
      </w:r>
      <w:r>
        <w:fldChar w:fldCharType="separate"/>
      </w:r>
    </w:p>
    <w:p w14:paraId="79A62EFB">
      <w:pPr>
        <w:pStyle w:val="13"/>
        <w:tabs>
          <w:tab w:val="right" w:leader="dot" w:pos="9180"/>
          <w:tab w:val="clear" w:pos="8296"/>
        </w:tabs>
        <w:spacing w:line="480" w:lineRule="auto"/>
        <w:ind w:left="0" w:leftChars="0"/>
        <w:jc w:val="left"/>
        <w:rPr>
          <w:sz w:val="24"/>
        </w:rPr>
      </w:pPr>
      <w:r>
        <w:fldChar w:fldCharType="begin"/>
      </w:r>
      <w:r>
        <w:instrText xml:space="preserve">HYPERLINK \l "_Toc22279"</w:instrText>
      </w:r>
      <w:r>
        <w:fldChar w:fldCharType="separate"/>
      </w:r>
      <w:r>
        <w:rPr>
          <w:rFonts w:hint="eastAsia"/>
          <w:sz w:val="24"/>
        </w:rPr>
        <w:t>一、公司概况</w:t>
      </w:r>
      <w:r>
        <w:rPr>
          <w:sz w:val="24"/>
        </w:rPr>
        <w:tab/>
      </w:r>
      <w:r>
        <w:rPr>
          <w:rFonts w:hint="eastAsia"/>
          <w:sz w:val="24"/>
        </w:rPr>
        <w:t>1</w:t>
      </w:r>
      <w:r>
        <w:fldChar w:fldCharType="end"/>
      </w:r>
    </w:p>
    <w:p w14:paraId="53C8EBA7">
      <w:pPr>
        <w:pStyle w:val="13"/>
        <w:tabs>
          <w:tab w:val="right" w:leader="dot" w:pos="9180"/>
          <w:tab w:val="clear" w:pos="8296"/>
        </w:tabs>
        <w:spacing w:line="480" w:lineRule="auto"/>
        <w:ind w:left="0" w:leftChars="0"/>
        <w:jc w:val="left"/>
        <w:rPr>
          <w:sz w:val="24"/>
        </w:rPr>
      </w:pPr>
      <w:r>
        <w:fldChar w:fldCharType="begin"/>
      </w:r>
      <w:r>
        <w:instrText xml:space="preserve">HYPERLINK \l "_Toc31213"</w:instrText>
      </w:r>
      <w:r>
        <w:fldChar w:fldCharType="separate"/>
      </w:r>
      <w:r>
        <w:rPr>
          <w:rFonts w:hint="eastAsia"/>
          <w:sz w:val="24"/>
        </w:rPr>
        <w:t>二、核心价</w:t>
      </w:r>
      <w:bookmarkStart w:id="0" w:name="_Hlt527637896"/>
      <w:r>
        <w:rPr>
          <w:rFonts w:hint="eastAsia"/>
          <w:sz w:val="24"/>
        </w:rPr>
        <w:t>值</w:t>
      </w:r>
      <w:bookmarkEnd w:id="0"/>
      <w:r>
        <w:rPr>
          <w:rFonts w:hint="eastAsia"/>
          <w:sz w:val="24"/>
        </w:rPr>
        <w:t>观：</w:t>
      </w:r>
      <w:r>
        <w:rPr>
          <w:sz w:val="24"/>
        </w:rPr>
        <w:tab/>
      </w:r>
      <w:r>
        <w:rPr>
          <w:sz w:val="24"/>
        </w:rPr>
        <w:fldChar w:fldCharType="begin"/>
      </w:r>
      <w:r>
        <w:rPr>
          <w:sz w:val="24"/>
        </w:rPr>
        <w:instrText xml:space="preserve"> PAGEREF _Toc31213 </w:instrText>
      </w:r>
      <w:r>
        <w:rPr>
          <w:sz w:val="24"/>
        </w:rPr>
        <w:fldChar w:fldCharType="separate"/>
      </w:r>
      <w:r>
        <w:rPr>
          <w:sz w:val="24"/>
        </w:rPr>
        <w:t>5</w:t>
      </w:r>
      <w:r>
        <w:rPr>
          <w:sz w:val="24"/>
        </w:rPr>
        <w:fldChar w:fldCharType="end"/>
      </w:r>
      <w:r>
        <w:fldChar w:fldCharType="end"/>
      </w:r>
    </w:p>
    <w:p w14:paraId="48EB6E35">
      <w:pPr>
        <w:pStyle w:val="13"/>
        <w:tabs>
          <w:tab w:val="right" w:leader="dot" w:pos="9180"/>
          <w:tab w:val="clear" w:pos="8296"/>
        </w:tabs>
        <w:spacing w:line="480" w:lineRule="auto"/>
        <w:ind w:left="0" w:leftChars="0"/>
        <w:jc w:val="left"/>
        <w:rPr>
          <w:sz w:val="24"/>
        </w:rPr>
      </w:pPr>
      <w:r>
        <w:fldChar w:fldCharType="begin"/>
      </w:r>
      <w:r>
        <w:instrText xml:space="preserve">HYPERLINK \l "_Toc30022"</w:instrText>
      </w:r>
      <w:r>
        <w:fldChar w:fldCharType="separate"/>
      </w:r>
      <w:r>
        <w:rPr>
          <w:rFonts w:hint="eastAsia"/>
          <w:sz w:val="24"/>
        </w:rPr>
        <w:t>三、核心文化</w:t>
      </w:r>
      <w:r>
        <w:rPr>
          <w:sz w:val="24"/>
        </w:rPr>
        <w:tab/>
      </w:r>
      <w:r>
        <w:rPr>
          <w:rFonts w:hint="eastAsia"/>
          <w:sz w:val="24"/>
        </w:rPr>
        <w:t>7</w:t>
      </w:r>
      <w:r>
        <w:fldChar w:fldCharType="end"/>
      </w:r>
    </w:p>
    <w:p w14:paraId="1CF66099">
      <w:pPr>
        <w:pStyle w:val="13"/>
        <w:tabs>
          <w:tab w:val="right" w:leader="dot" w:pos="9180"/>
          <w:tab w:val="clear" w:pos="8296"/>
        </w:tabs>
        <w:spacing w:line="480" w:lineRule="auto"/>
        <w:ind w:left="0" w:leftChars="0"/>
        <w:jc w:val="left"/>
        <w:rPr>
          <w:sz w:val="24"/>
        </w:rPr>
      </w:pPr>
      <w:r>
        <w:fldChar w:fldCharType="begin"/>
      </w:r>
      <w:r>
        <w:instrText xml:space="preserve">HYPERLINK \l "_Toc12511"</w:instrText>
      </w:r>
      <w:r>
        <w:fldChar w:fldCharType="separate"/>
      </w:r>
      <w:r>
        <w:rPr>
          <w:rFonts w:hint="eastAsia"/>
          <w:sz w:val="24"/>
        </w:rPr>
        <w:t>四、组织机构和治</w:t>
      </w:r>
      <w:bookmarkStart w:id="1" w:name="_Hlt527637908"/>
      <w:r>
        <w:rPr>
          <w:rFonts w:hint="eastAsia"/>
          <w:sz w:val="24"/>
        </w:rPr>
        <w:t>理</w:t>
      </w:r>
      <w:bookmarkEnd w:id="1"/>
      <w:r>
        <w:rPr>
          <w:rFonts w:hint="eastAsia"/>
          <w:sz w:val="24"/>
        </w:rPr>
        <w:t>系统</w:t>
      </w:r>
      <w:bookmarkStart w:id="2" w:name="_Hlt527637203"/>
      <w:r>
        <w:rPr>
          <w:sz w:val="24"/>
        </w:rPr>
        <w:tab/>
      </w:r>
      <w:bookmarkEnd w:id="2"/>
      <w:r>
        <w:rPr>
          <w:rFonts w:hint="eastAsia"/>
          <w:sz w:val="24"/>
        </w:rPr>
        <w:t>8</w:t>
      </w:r>
      <w:r>
        <w:fldChar w:fldCharType="end"/>
      </w:r>
    </w:p>
    <w:p w14:paraId="7B0985A3">
      <w:pPr>
        <w:pStyle w:val="13"/>
        <w:tabs>
          <w:tab w:val="right" w:leader="dot" w:pos="9180"/>
          <w:tab w:val="clear" w:pos="8296"/>
        </w:tabs>
        <w:spacing w:line="480" w:lineRule="auto"/>
        <w:ind w:left="0" w:leftChars="0"/>
        <w:jc w:val="left"/>
        <w:rPr>
          <w:sz w:val="24"/>
        </w:rPr>
      </w:pPr>
      <w:r>
        <w:fldChar w:fldCharType="begin"/>
      </w:r>
      <w:r>
        <w:instrText xml:space="preserve">HYPERLINK \l "_Toc13339"</w:instrText>
      </w:r>
      <w:r>
        <w:fldChar w:fldCharType="separate"/>
      </w:r>
      <w:r>
        <w:rPr>
          <w:rFonts w:hint="eastAsia"/>
          <w:sz w:val="24"/>
        </w:rPr>
        <w:t>五、管理体系</w:t>
      </w:r>
      <w:r>
        <w:rPr>
          <w:sz w:val="24"/>
        </w:rPr>
        <w:tab/>
      </w:r>
      <w:r>
        <w:rPr>
          <w:rFonts w:hint="eastAsia"/>
          <w:sz w:val="24"/>
        </w:rPr>
        <w:t>9</w:t>
      </w:r>
      <w:r>
        <w:fldChar w:fldCharType="end"/>
      </w:r>
    </w:p>
    <w:p w14:paraId="31ED0A8E">
      <w:pPr>
        <w:pStyle w:val="13"/>
        <w:tabs>
          <w:tab w:val="right" w:leader="dot" w:pos="9180"/>
          <w:tab w:val="clear" w:pos="8296"/>
        </w:tabs>
        <w:spacing w:line="480" w:lineRule="auto"/>
        <w:ind w:left="0" w:leftChars="0"/>
        <w:jc w:val="left"/>
        <w:rPr>
          <w:sz w:val="24"/>
        </w:rPr>
      </w:pPr>
      <w:r>
        <w:fldChar w:fldCharType="begin"/>
      </w:r>
      <w:r>
        <w:instrText xml:space="preserve">HYPERLINK \l "_Toc2945"</w:instrText>
      </w:r>
      <w:r>
        <w:fldChar w:fldCharType="separate"/>
      </w:r>
      <w:r>
        <w:rPr>
          <w:rFonts w:hint="eastAsia"/>
          <w:sz w:val="24"/>
        </w:rPr>
        <w:t>六、员工基</w:t>
      </w:r>
      <w:bookmarkStart w:id="3" w:name="_Hlt527637856"/>
      <w:r>
        <w:rPr>
          <w:rFonts w:hint="eastAsia"/>
          <w:sz w:val="24"/>
        </w:rPr>
        <w:t>本</w:t>
      </w:r>
      <w:bookmarkEnd w:id="3"/>
      <w:r>
        <w:rPr>
          <w:rFonts w:hint="eastAsia"/>
          <w:sz w:val="24"/>
        </w:rPr>
        <w:t>情况</w:t>
      </w:r>
      <w:r>
        <w:rPr>
          <w:sz w:val="24"/>
        </w:rPr>
        <w:tab/>
      </w:r>
      <w:r>
        <w:rPr>
          <w:rFonts w:hint="eastAsia"/>
          <w:sz w:val="24"/>
        </w:rPr>
        <w:t>10</w:t>
      </w:r>
      <w:r>
        <w:fldChar w:fldCharType="end"/>
      </w:r>
    </w:p>
    <w:p w14:paraId="47EFE573">
      <w:pPr>
        <w:pStyle w:val="13"/>
        <w:tabs>
          <w:tab w:val="right" w:leader="dot" w:pos="9180"/>
          <w:tab w:val="clear" w:pos="8296"/>
        </w:tabs>
        <w:spacing w:line="480" w:lineRule="auto"/>
        <w:ind w:left="0" w:leftChars="0"/>
        <w:jc w:val="left"/>
        <w:rPr>
          <w:sz w:val="24"/>
        </w:rPr>
      </w:pPr>
      <w:r>
        <w:fldChar w:fldCharType="begin"/>
      </w:r>
      <w:r>
        <w:instrText xml:space="preserve">HYPERLINK \l "_Toc6255"</w:instrText>
      </w:r>
      <w:r>
        <w:fldChar w:fldCharType="separate"/>
      </w:r>
      <w:r>
        <w:rPr>
          <w:rFonts w:hint="eastAsia"/>
          <w:sz w:val="24"/>
        </w:rPr>
        <w:t>七、主要</w:t>
      </w:r>
      <w:bookmarkStart w:id="4" w:name="_Hlt527637869"/>
      <w:r>
        <w:rPr>
          <w:rFonts w:hint="eastAsia"/>
          <w:sz w:val="24"/>
        </w:rPr>
        <w:t>产</w:t>
      </w:r>
      <w:bookmarkEnd w:id="4"/>
      <w:r>
        <w:rPr>
          <w:rFonts w:hint="eastAsia"/>
          <w:sz w:val="24"/>
        </w:rPr>
        <w:t>品和服务</w:t>
      </w:r>
      <w:r>
        <w:rPr>
          <w:sz w:val="24"/>
        </w:rPr>
        <w:tab/>
      </w:r>
      <w:r>
        <w:rPr>
          <w:rFonts w:hint="eastAsia"/>
          <w:sz w:val="24"/>
        </w:rPr>
        <w:t>10</w:t>
      </w:r>
      <w:r>
        <w:fldChar w:fldCharType="end"/>
      </w:r>
    </w:p>
    <w:p w14:paraId="33301589">
      <w:pPr>
        <w:pStyle w:val="13"/>
        <w:tabs>
          <w:tab w:val="right" w:leader="dot" w:pos="9180"/>
          <w:tab w:val="clear" w:pos="8296"/>
        </w:tabs>
        <w:spacing w:line="480" w:lineRule="auto"/>
        <w:ind w:left="0" w:leftChars="0"/>
        <w:jc w:val="left"/>
        <w:rPr>
          <w:sz w:val="24"/>
        </w:rPr>
      </w:pPr>
      <w:r>
        <w:fldChar w:fldCharType="begin"/>
      </w:r>
      <w:r>
        <w:instrText xml:space="preserve">HYPERLINK \l "_Toc21749"</w:instrText>
      </w:r>
      <w:r>
        <w:fldChar w:fldCharType="separate"/>
      </w:r>
      <w:r>
        <w:rPr>
          <w:rFonts w:hint="eastAsia"/>
          <w:sz w:val="24"/>
        </w:rPr>
        <w:t>八、主要技术和设备设施</w:t>
      </w:r>
      <w:bookmarkStart w:id="5" w:name="_Hlt527637314"/>
      <w:r>
        <w:rPr>
          <w:sz w:val="24"/>
        </w:rPr>
        <w:tab/>
      </w:r>
      <w:bookmarkEnd w:id="5"/>
      <w:r>
        <w:rPr>
          <w:rFonts w:hint="eastAsia"/>
          <w:sz w:val="24"/>
        </w:rPr>
        <w:t>10</w:t>
      </w:r>
      <w:r>
        <w:fldChar w:fldCharType="end"/>
      </w:r>
    </w:p>
    <w:p w14:paraId="5CC8CB96">
      <w:pPr>
        <w:pStyle w:val="13"/>
        <w:tabs>
          <w:tab w:val="right" w:leader="dot" w:pos="9180"/>
          <w:tab w:val="clear" w:pos="8296"/>
        </w:tabs>
        <w:spacing w:line="480" w:lineRule="auto"/>
        <w:ind w:left="0" w:leftChars="0"/>
        <w:jc w:val="left"/>
        <w:rPr>
          <w:sz w:val="24"/>
        </w:rPr>
      </w:pPr>
      <w:r>
        <w:fldChar w:fldCharType="begin"/>
      </w:r>
      <w:r>
        <w:instrText xml:space="preserve">HYPERLINK \l "_Toc24416"</w:instrText>
      </w:r>
      <w:r>
        <w:fldChar w:fldCharType="separate"/>
      </w:r>
      <w:r>
        <w:rPr>
          <w:rFonts w:hint="eastAsia"/>
          <w:sz w:val="24"/>
        </w:rPr>
        <w:t>九、市场</w:t>
      </w:r>
      <w:bookmarkStart w:id="6" w:name="_Hlt527637307"/>
      <w:r>
        <w:rPr>
          <w:rFonts w:hint="eastAsia"/>
          <w:sz w:val="24"/>
          <w:lang w:eastAsia="zh-CN"/>
        </w:rPr>
        <w:t>分析</w:t>
      </w:r>
      <w:r>
        <w:rPr>
          <w:sz w:val="24"/>
        </w:rPr>
        <w:tab/>
      </w:r>
      <w:bookmarkEnd w:id="6"/>
      <w:r>
        <w:rPr>
          <w:sz w:val="24"/>
        </w:rPr>
        <w:fldChar w:fldCharType="begin"/>
      </w:r>
      <w:r>
        <w:rPr>
          <w:sz w:val="24"/>
        </w:rPr>
        <w:instrText xml:space="preserve"> PAGEREF _Toc24416 </w:instrText>
      </w:r>
      <w:r>
        <w:rPr>
          <w:sz w:val="24"/>
        </w:rPr>
        <w:fldChar w:fldCharType="separate"/>
      </w:r>
      <w:r>
        <w:rPr>
          <w:sz w:val="24"/>
        </w:rPr>
        <w:t>1</w:t>
      </w:r>
      <w:r>
        <w:rPr>
          <w:rFonts w:hint="eastAsia"/>
          <w:sz w:val="24"/>
        </w:rPr>
        <w:t>2</w:t>
      </w:r>
      <w:r>
        <w:rPr>
          <w:sz w:val="24"/>
        </w:rPr>
        <w:fldChar w:fldCharType="end"/>
      </w:r>
      <w:r>
        <w:fldChar w:fldCharType="end"/>
      </w:r>
    </w:p>
    <w:p w14:paraId="6067CF75">
      <w:pPr>
        <w:pStyle w:val="13"/>
        <w:tabs>
          <w:tab w:val="right" w:leader="dot" w:pos="9180"/>
          <w:tab w:val="clear" w:pos="8296"/>
        </w:tabs>
        <w:spacing w:line="480" w:lineRule="auto"/>
        <w:ind w:left="0" w:leftChars="0"/>
        <w:jc w:val="left"/>
        <w:rPr>
          <w:sz w:val="24"/>
        </w:rPr>
      </w:pPr>
      <w:r>
        <w:fldChar w:fldCharType="begin"/>
      </w:r>
      <w:r>
        <w:instrText xml:space="preserve">HYPERLINK \l "_Toc606"</w:instrText>
      </w:r>
      <w:r>
        <w:fldChar w:fldCharType="separate"/>
      </w:r>
      <w:r>
        <w:rPr>
          <w:rFonts w:hint="eastAsia"/>
          <w:sz w:val="24"/>
        </w:rPr>
        <w:t>十、利益相</w:t>
      </w:r>
      <w:bookmarkStart w:id="7" w:name="_Hlt527637844"/>
      <w:r>
        <w:rPr>
          <w:rFonts w:hint="eastAsia"/>
          <w:sz w:val="24"/>
        </w:rPr>
        <w:t>关</w:t>
      </w:r>
      <w:bookmarkEnd w:id="7"/>
      <w:r>
        <w:rPr>
          <w:rFonts w:hint="eastAsia"/>
          <w:sz w:val="24"/>
        </w:rPr>
        <w:t>方沟通与回应</w:t>
      </w:r>
      <w:r>
        <w:rPr>
          <w:sz w:val="24"/>
        </w:rPr>
        <w:tab/>
      </w:r>
      <w:r>
        <w:rPr>
          <w:sz w:val="24"/>
        </w:rPr>
        <w:fldChar w:fldCharType="begin"/>
      </w:r>
      <w:r>
        <w:rPr>
          <w:sz w:val="24"/>
        </w:rPr>
        <w:instrText xml:space="preserve"> PAGEREF _Toc606 </w:instrText>
      </w:r>
      <w:r>
        <w:rPr>
          <w:sz w:val="24"/>
        </w:rPr>
        <w:fldChar w:fldCharType="separate"/>
      </w:r>
      <w:r>
        <w:rPr>
          <w:sz w:val="24"/>
        </w:rPr>
        <w:t>1</w:t>
      </w:r>
      <w:r>
        <w:rPr>
          <w:rFonts w:hint="eastAsia"/>
          <w:sz w:val="24"/>
        </w:rPr>
        <w:t>3</w:t>
      </w:r>
      <w:r>
        <w:rPr>
          <w:sz w:val="24"/>
        </w:rPr>
        <w:fldChar w:fldCharType="end"/>
      </w:r>
      <w:r>
        <w:fldChar w:fldCharType="end"/>
      </w:r>
    </w:p>
    <w:p w14:paraId="1435CA52">
      <w:pPr>
        <w:pStyle w:val="13"/>
        <w:tabs>
          <w:tab w:val="right" w:leader="dot" w:pos="9180"/>
          <w:tab w:val="clear" w:pos="8296"/>
        </w:tabs>
        <w:spacing w:line="480" w:lineRule="auto"/>
        <w:ind w:left="0" w:leftChars="0"/>
        <w:jc w:val="left"/>
        <w:rPr>
          <w:sz w:val="24"/>
        </w:rPr>
      </w:pPr>
      <w:r>
        <w:fldChar w:fldCharType="begin"/>
      </w:r>
      <w:r>
        <w:instrText xml:space="preserve">HYPERLINK \l "_Toc3091"</w:instrText>
      </w:r>
      <w:r>
        <w:fldChar w:fldCharType="separate"/>
      </w:r>
      <w:r>
        <w:rPr>
          <w:rFonts w:hint="eastAsia"/>
          <w:sz w:val="24"/>
        </w:rPr>
        <w:t>十一、股东及其他相关方利</w:t>
      </w:r>
      <w:bookmarkStart w:id="8" w:name="_Hlt527637521"/>
      <w:r>
        <w:rPr>
          <w:rFonts w:hint="eastAsia"/>
          <w:sz w:val="24"/>
        </w:rPr>
        <w:t>益</w:t>
      </w:r>
      <w:bookmarkEnd w:id="8"/>
      <w:r>
        <w:rPr>
          <w:rFonts w:hint="eastAsia"/>
          <w:sz w:val="24"/>
        </w:rPr>
        <w:t>的保护</w:t>
      </w:r>
      <w:r>
        <w:rPr>
          <w:sz w:val="24"/>
        </w:rPr>
        <w:tab/>
      </w:r>
      <w:bookmarkStart w:id="9" w:name="_Hlt527637548"/>
      <w:r>
        <w:rPr>
          <w:sz w:val="24"/>
        </w:rPr>
        <w:fldChar w:fldCharType="begin"/>
      </w:r>
      <w:r>
        <w:rPr>
          <w:sz w:val="24"/>
        </w:rPr>
        <w:instrText xml:space="preserve"> PAGEREF _Toc3091 </w:instrText>
      </w:r>
      <w:r>
        <w:rPr>
          <w:sz w:val="24"/>
        </w:rPr>
        <w:fldChar w:fldCharType="separate"/>
      </w:r>
      <w:r>
        <w:rPr>
          <w:sz w:val="24"/>
        </w:rPr>
        <w:t>1</w:t>
      </w:r>
      <w:r>
        <w:rPr>
          <w:sz w:val="24"/>
        </w:rPr>
        <w:fldChar w:fldCharType="end"/>
      </w:r>
      <w:bookmarkEnd w:id="9"/>
      <w:r>
        <w:fldChar w:fldCharType="end"/>
      </w:r>
      <w:r>
        <w:rPr>
          <w:rFonts w:hint="eastAsia"/>
        </w:rPr>
        <w:t>3</w:t>
      </w:r>
    </w:p>
    <w:p w14:paraId="2F5A533B">
      <w:pPr>
        <w:pStyle w:val="13"/>
        <w:tabs>
          <w:tab w:val="right" w:leader="dot" w:pos="9180"/>
          <w:tab w:val="clear" w:pos="8296"/>
        </w:tabs>
        <w:spacing w:line="480" w:lineRule="auto"/>
        <w:ind w:left="0" w:leftChars="0"/>
        <w:jc w:val="left"/>
        <w:rPr>
          <w:sz w:val="24"/>
        </w:rPr>
      </w:pPr>
      <w:r>
        <w:fldChar w:fldCharType="begin"/>
      </w:r>
      <w:r>
        <w:instrText xml:space="preserve">HYPERLINK \l "_Toc10897"</w:instrText>
      </w:r>
      <w:r>
        <w:fldChar w:fldCharType="separate"/>
      </w:r>
      <w:r>
        <w:rPr>
          <w:rFonts w:hint="eastAsia"/>
          <w:sz w:val="24"/>
        </w:rPr>
        <w:t>十二、社会</w:t>
      </w:r>
      <w:bookmarkStart w:id="10" w:name="_Hlt527637635"/>
      <w:r>
        <w:rPr>
          <w:rFonts w:hint="eastAsia"/>
          <w:sz w:val="24"/>
        </w:rPr>
        <w:t>责</w:t>
      </w:r>
      <w:bookmarkEnd w:id="10"/>
      <w:r>
        <w:rPr>
          <w:rFonts w:hint="eastAsia"/>
          <w:sz w:val="24"/>
        </w:rPr>
        <w:t>任</w:t>
      </w:r>
      <w:bookmarkStart w:id="11" w:name="_Hlt527637563"/>
      <w:r>
        <w:rPr>
          <w:sz w:val="24"/>
        </w:rPr>
        <w:tab/>
      </w:r>
      <w:bookmarkEnd w:id="11"/>
      <w:r>
        <w:rPr>
          <w:sz w:val="24"/>
        </w:rPr>
        <w:fldChar w:fldCharType="begin"/>
      </w:r>
      <w:r>
        <w:rPr>
          <w:sz w:val="24"/>
        </w:rPr>
        <w:instrText xml:space="preserve"> PAGEREF _Toc10897 </w:instrText>
      </w:r>
      <w:r>
        <w:rPr>
          <w:sz w:val="24"/>
        </w:rPr>
        <w:fldChar w:fldCharType="separate"/>
      </w:r>
      <w:r>
        <w:rPr>
          <w:sz w:val="24"/>
        </w:rPr>
        <w:t>1</w:t>
      </w:r>
      <w:r>
        <w:rPr>
          <w:rFonts w:hint="eastAsia"/>
          <w:sz w:val="24"/>
        </w:rPr>
        <w:t>5</w:t>
      </w:r>
      <w:r>
        <w:rPr>
          <w:sz w:val="24"/>
        </w:rPr>
        <w:fldChar w:fldCharType="end"/>
      </w:r>
      <w:r>
        <w:fldChar w:fldCharType="end"/>
      </w:r>
    </w:p>
    <w:p w14:paraId="20299616">
      <w:pPr>
        <w:pStyle w:val="13"/>
        <w:tabs>
          <w:tab w:val="right" w:leader="dot" w:pos="9180"/>
          <w:tab w:val="clear" w:pos="8296"/>
        </w:tabs>
        <w:spacing w:line="480" w:lineRule="auto"/>
        <w:ind w:left="0" w:leftChars="0"/>
        <w:jc w:val="left"/>
        <w:rPr>
          <w:sz w:val="24"/>
        </w:rPr>
      </w:pPr>
      <w:r>
        <w:fldChar w:fldCharType="begin"/>
      </w:r>
      <w:r>
        <w:instrText xml:space="preserve">HYPERLINK \l "_Toc8498"</w:instrText>
      </w:r>
      <w:r>
        <w:fldChar w:fldCharType="separate"/>
      </w:r>
      <w:r>
        <w:rPr>
          <w:rFonts w:hint="eastAsia"/>
          <w:sz w:val="24"/>
        </w:rPr>
        <w:t>十三、社会认</w:t>
      </w:r>
      <w:bookmarkStart w:id="12" w:name="_Hlt527637650"/>
      <w:r>
        <w:rPr>
          <w:rFonts w:hint="eastAsia"/>
          <w:sz w:val="24"/>
        </w:rPr>
        <w:t>可</w:t>
      </w:r>
      <w:bookmarkEnd w:id="12"/>
      <w:r>
        <w:rPr>
          <w:sz w:val="24"/>
        </w:rPr>
        <w:tab/>
      </w:r>
      <w:r>
        <w:rPr>
          <w:rFonts w:hint="eastAsia"/>
          <w:sz w:val="24"/>
        </w:rPr>
        <w:t>15</w:t>
      </w:r>
      <w:r>
        <w:fldChar w:fldCharType="end"/>
      </w:r>
    </w:p>
    <w:p w14:paraId="3AE09205">
      <w:pPr>
        <w:pStyle w:val="13"/>
        <w:tabs>
          <w:tab w:val="right" w:leader="dot" w:pos="9180"/>
          <w:tab w:val="clear" w:pos="8296"/>
        </w:tabs>
        <w:spacing w:line="480" w:lineRule="auto"/>
        <w:ind w:left="0" w:leftChars="0"/>
        <w:jc w:val="left"/>
        <w:rPr>
          <w:rFonts w:hint="eastAsia"/>
        </w:rPr>
      </w:pPr>
      <w:r>
        <w:fldChar w:fldCharType="begin"/>
      </w:r>
      <w:r>
        <w:instrText xml:space="preserve">HYPERLINK \l "_Toc30767"</w:instrText>
      </w:r>
      <w:r>
        <w:fldChar w:fldCharType="separate"/>
      </w:r>
      <w:r>
        <w:rPr>
          <w:rFonts w:hint="eastAsia"/>
          <w:sz w:val="24"/>
        </w:rPr>
        <w:t>十四、发展战略</w:t>
      </w:r>
      <w:r>
        <w:rPr>
          <w:sz w:val="24"/>
        </w:rPr>
        <w:tab/>
      </w:r>
      <w:r>
        <w:rPr>
          <w:rFonts w:hint="eastAsia"/>
          <w:sz w:val="24"/>
        </w:rPr>
        <w:t>15</w:t>
      </w:r>
      <w:r>
        <w:fldChar w:fldCharType="end"/>
      </w:r>
    </w:p>
    <w:p w14:paraId="1F758500">
      <w:pPr>
        <w:pStyle w:val="9"/>
        <w:tabs>
          <w:tab w:val="right" w:leader="dot" w:pos="8296"/>
        </w:tabs>
        <w:ind w:left="0"/>
        <w:rPr>
          <w:color w:val="000000"/>
        </w:rPr>
      </w:pPr>
      <w:r>
        <w:fldChar w:fldCharType="end"/>
      </w:r>
    </w:p>
    <w:p w14:paraId="7719B8DB">
      <w:pPr>
        <w:sectPr>
          <w:footerReference r:id="rId4" w:type="default"/>
          <w:footerReference r:id="rId5" w:type="even"/>
          <w:pgSz w:w="11906" w:h="16838"/>
          <w:pgMar w:top="1418" w:right="1418" w:bottom="1418" w:left="1701" w:header="567" w:footer="992" w:gutter="0"/>
          <w:pgBorders w:offsetFrom="page">
            <w:top w:val="none" w:sz="0" w:space="0"/>
            <w:left w:val="none" w:sz="0" w:space="0"/>
            <w:bottom w:val="none" w:sz="0" w:space="0"/>
            <w:right w:val="none" w:sz="0" w:space="0"/>
          </w:pgBorders>
          <w:cols w:space="720" w:num="1"/>
          <w:docGrid w:type="lines" w:linePitch="312" w:charSpace="0"/>
        </w:sectPr>
      </w:pPr>
    </w:p>
    <w:p w14:paraId="5C7B98CA">
      <w:pPr>
        <w:pStyle w:val="3"/>
      </w:pPr>
      <w:bookmarkStart w:id="13" w:name="_Toc22279"/>
      <w:r>
        <w:rPr>
          <w:rFonts w:hint="eastAsia"/>
        </w:rPr>
        <w:t>一、公司概况</w:t>
      </w:r>
      <w:bookmarkEnd w:id="13"/>
    </w:p>
    <w:p w14:paraId="4F826099">
      <w:pPr>
        <w:spacing w:line="360" w:lineRule="auto"/>
        <w:ind w:firstLine="480" w:firstLineChars="200"/>
        <w:rPr>
          <w:rFonts w:hint="eastAsia" w:ascii="宋体" w:hAnsi="宋体"/>
          <w:sz w:val="24"/>
          <w:lang w:eastAsia="zh-CN"/>
        </w:rPr>
      </w:pPr>
      <w:bookmarkStart w:id="14" w:name="_Toc31213"/>
      <w:r>
        <w:rPr>
          <w:rFonts w:hint="eastAsia" w:ascii="宋体" w:hAnsi="宋体"/>
          <w:sz w:val="24"/>
          <w:lang w:eastAsia="zh-CN"/>
        </w:rPr>
        <w:t>自 200</w:t>
      </w:r>
      <w:r>
        <w:rPr>
          <w:rFonts w:hint="eastAsia" w:ascii="宋体" w:hAnsi="宋体"/>
          <w:sz w:val="24"/>
          <w:lang w:val="en-US" w:eastAsia="zh-CN"/>
        </w:rPr>
        <w:t xml:space="preserve">6 </w:t>
      </w:r>
      <w:r>
        <w:rPr>
          <w:rFonts w:hint="eastAsia" w:ascii="宋体" w:hAnsi="宋体"/>
          <w:sz w:val="24"/>
          <w:lang w:eastAsia="zh-CN"/>
        </w:rPr>
        <w:t>年扬帆起航，特宏阀门集团有限公司始终深耕阀门领域，发展成为集设计研发、精密铸造、专业加工、高效销售于一体的国家高新技术企业。​</w:t>
      </w:r>
    </w:p>
    <w:p w14:paraId="0D5BA612">
      <w:pPr>
        <w:spacing w:line="360" w:lineRule="auto"/>
        <w:ind w:firstLine="480" w:firstLineChars="200"/>
        <w:rPr>
          <w:rFonts w:hint="eastAsia" w:ascii="宋体" w:hAnsi="宋体"/>
          <w:sz w:val="24"/>
          <w:lang w:eastAsia="zh-CN"/>
        </w:rPr>
      </w:pPr>
      <w:r>
        <w:rPr>
          <w:rFonts w:hint="eastAsia" w:ascii="宋体" w:hAnsi="宋体"/>
          <w:sz w:val="24"/>
          <w:lang w:eastAsia="zh-CN"/>
        </w:rPr>
        <w:t>公司核心产品矩阵丰富多元，不仅涵盖智能控制阀、调节阀、闸截止阀、执行器等主力产品，还提供完善的阀门系列附件。这些产品凭借卓越性能，深度融入石油、化工、天然气管道、发电、建筑、医药、食品、冶金等众多关键行业，成为推动各领域高效运行的可靠 “流体管家”。​</w:t>
      </w:r>
    </w:p>
    <w:p w14:paraId="7DDEB86C">
      <w:pPr>
        <w:spacing w:line="360" w:lineRule="auto"/>
        <w:ind w:firstLine="480" w:firstLineChars="200"/>
        <w:rPr>
          <w:rFonts w:hint="eastAsia" w:ascii="宋体" w:hAnsi="宋体"/>
          <w:sz w:val="24"/>
          <w:lang w:eastAsia="zh-CN"/>
        </w:rPr>
      </w:pPr>
      <w:r>
        <w:rPr>
          <w:rFonts w:hint="eastAsia" w:ascii="宋体" w:hAnsi="宋体"/>
          <w:sz w:val="24"/>
          <w:lang w:eastAsia="zh-CN"/>
        </w:rPr>
        <w:t>作为行业标杆，特宏阀门载誉无数。公司不仅是国家高新技术企业，更荣膺浙江省科技型企业、浙江省科技型高成长企业、浙江省科技创新型企业、浙江省专利示范企业等多项省级殊荣，并拥有省级企业研发中心这一创新高地，同时连续多年获评浙江省守合同重信用单位，稳坐阀门行业龙头宝座。在质量认证与技术创新方面，公司先后通过国家特种设备制造 (TS) 认证、欧盟 CE 认证、美国 API 防火认证、韩国 KS 认证和 KGS 燃气认证等多项国际权威认证，同时建立起完善的知识产权管理体系、ISO9001 质量管理体系，并通过国家级两化融合体系认证。凭借持续创新，公司手握多项发明专利与实用新型专利，以硬核技术驱动行业升级。​</w:t>
      </w:r>
    </w:p>
    <w:p w14:paraId="5DED72BD">
      <w:pPr>
        <w:spacing w:line="360" w:lineRule="auto"/>
        <w:ind w:firstLine="480" w:firstLineChars="200"/>
        <w:rPr>
          <w:rFonts w:hint="eastAsia" w:ascii="宋体" w:hAnsi="宋体"/>
          <w:sz w:val="24"/>
          <w:lang w:eastAsia="zh-CN"/>
        </w:rPr>
      </w:pPr>
      <w:r>
        <w:rPr>
          <w:rFonts w:hint="eastAsia" w:ascii="宋体" w:hAnsi="宋体"/>
          <w:sz w:val="24"/>
          <w:lang w:eastAsia="zh-CN"/>
        </w:rPr>
        <w:t>在企业运营与市场拓展上，特宏阀门打造了一支经验丰富、专业高效的管理团队，建立起完善的销售与售后服务体系。在国内，多个分销点星罗棋布，确保产品快速触达用户；在国际市场，产品远销美国、德国、俄罗斯、意大利、南非等全球各地，以 “中国智造” 的品质赢得世界认可。​</w:t>
      </w:r>
    </w:p>
    <w:p w14:paraId="259F0325">
      <w:pPr>
        <w:spacing w:line="360" w:lineRule="auto"/>
        <w:ind w:firstLine="480" w:firstLineChars="200"/>
        <w:rPr>
          <w:rFonts w:hint="eastAsia" w:ascii="宋体" w:hAnsi="宋体" w:eastAsia="宋体" w:cs="Times New Roman"/>
          <w:sz w:val="24"/>
          <w:lang w:eastAsia="zh-CN"/>
        </w:rPr>
      </w:pPr>
      <w:r>
        <w:rPr>
          <w:rFonts w:hint="eastAsia" w:ascii="宋体" w:hAnsi="宋体"/>
          <w:sz w:val="24"/>
          <w:lang w:eastAsia="zh-CN"/>
        </w:rPr>
        <w:t>特宏阀门始终坚守 “为智能制造做贡献，让流体连接更精准高效、安全可靠” 的企业使命，未来也将继续以创新为帆、以品质为舵，为全球用户提供更优质的阀门系列产品与更完善的服务，书写阀门制造领域的辉煌篇章。</w:t>
      </w:r>
    </w:p>
    <w:p w14:paraId="1BDAFAA0">
      <w:pPr>
        <w:pStyle w:val="3"/>
        <w:rPr>
          <w:rFonts w:ascii="Calibri Light" w:hAnsi="Calibri Light"/>
          <w:b/>
          <w:bCs/>
          <w:sz w:val="32"/>
          <w:szCs w:val="32"/>
        </w:rPr>
      </w:pPr>
      <w:r>
        <w:rPr>
          <w:rFonts w:hint="eastAsia" w:ascii="Calibri Light" w:hAnsi="Calibri Light"/>
          <w:b/>
          <w:bCs/>
          <w:sz w:val="32"/>
          <w:szCs w:val="32"/>
        </w:rPr>
        <w:t>二、核心价值观</w:t>
      </w:r>
      <w:bookmarkEnd w:id="14"/>
    </w:p>
    <w:p w14:paraId="2EF9D4C4">
      <w:pPr>
        <w:snapToGrid w:val="0"/>
        <w:spacing w:line="360" w:lineRule="auto"/>
        <w:ind w:firstLine="600" w:firstLineChars="250"/>
        <w:rPr>
          <w:rFonts w:hint="eastAsia" w:ascii="宋体" w:hAnsi="宋体"/>
          <w:sz w:val="24"/>
          <w:szCs w:val="24"/>
        </w:rPr>
      </w:pPr>
      <w:bookmarkStart w:id="15" w:name="_Toc30022"/>
      <w:r>
        <w:rPr>
          <w:rFonts w:hint="eastAsia" w:ascii="宋体" w:hAnsi="宋体"/>
          <w:sz w:val="24"/>
          <w:szCs w:val="24"/>
        </w:rPr>
        <w:t>公司经过</w:t>
      </w:r>
      <w:r>
        <w:rPr>
          <w:rFonts w:hint="eastAsia" w:ascii="宋体" w:hAnsi="宋体"/>
          <w:sz w:val="24"/>
          <w:szCs w:val="24"/>
          <w:lang w:val="en-US" w:eastAsia="zh-CN"/>
        </w:rPr>
        <w:t>20</w:t>
      </w:r>
      <w:r>
        <w:rPr>
          <w:rFonts w:hint="eastAsia" w:ascii="宋体" w:hAnsi="宋体"/>
          <w:sz w:val="24"/>
          <w:szCs w:val="24"/>
        </w:rPr>
        <w:t>来年积累沉淀，形成了自身特色的企业文化氛围，公司顺应时势发展新需要，不断审视更新公司文化内涵，最终提炼出</w:t>
      </w:r>
      <w:r>
        <w:rPr>
          <w:rFonts w:hint="eastAsia" w:ascii="宋体" w:hAnsi="宋体"/>
          <w:sz w:val="24"/>
          <w:szCs w:val="24"/>
          <w:lang w:val="en-US" w:eastAsia="zh-CN"/>
        </w:rPr>
        <w:t>联大</w:t>
      </w:r>
      <w:r>
        <w:rPr>
          <w:rFonts w:hint="eastAsia" w:ascii="宋体" w:hAnsi="宋体"/>
          <w:sz w:val="24"/>
          <w:szCs w:val="24"/>
        </w:rPr>
        <w:t>文化核心内涵，完善企业文化体系。</w:t>
      </w:r>
    </w:p>
    <w:p w14:paraId="588D4703">
      <w:pPr>
        <w:snapToGrid w:val="0"/>
        <w:spacing w:line="360" w:lineRule="auto"/>
        <w:ind w:left="780" w:leftChars="200" w:hanging="360" w:hangingChars="150"/>
        <w:rPr>
          <w:rFonts w:hint="eastAsia" w:ascii="宋体" w:hAnsi="宋体"/>
          <w:sz w:val="24"/>
          <w:szCs w:val="24"/>
        </w:rPr>
      </w:pPr>
      <w:r>
        <w:rPr>
          <w:rFonts w:hint="eastAsia" w:ascii="宋体" w:hAnsi="宋体"/>
          <w:sz w:val="24"/>
          <w:szCs w:val="24"/>
        </w:rPr>
        <w:t>1、使命：</w:t>
      </w:r>
      <w:r>
        <w:rPr>
          <w:rFonts w:hint="eastAsia" w:ascii="宋体" w:hAnsi="宋体"/>
          <w:sz w:val="24"/>
          <w:szCs w:val="24"/>
          <w:lang w:eastAsia="zh-CN"/>
        </w:rPr>
        <w:t>为智能制造做贡献，让流体连接更精准高效、安全可靠</w:t>
      </w:r>
      <w:r>
        <w:rPr>
          <w:rFonts w:hint="eastAsia" w:ascii="宋体" w:hAnsi="宋体"/>
          <w:sz w:val="24"/>
          <w:szCs w:val="24"/>
        </w:rPr>
        <w:t>。</w:t>
      </w:r>
    </w:p>
    <w:p w14:paraId="315E3F75">
      <w:pPr>
        <w:snapToGrid w:val="0"/>
        <w:spacing w:line="360" w:lineRule="auto"/>
        <w:ind w:firstLine="420"/>
        <w:rPr>
          <w:rFonts w:hint="eastAsia" w:ascii="宋体" w:hAnsi="宋体"/>
          <w:sz w:val="24"/>
          <w:szCs w:val="24"/>
        </w:rPr>
      </w:pPr>
      <w:r>
        <w:rPr>
          <w:rFonts w:hint="eastAsia" w:ascii="宋体" w:hAnsi="宋体"/>
          <w:sz w:val="24"/>
          <w:szCs w:val="24"/>
        </w:rPr>
        <w:t>2、企业愿景：</w:t>
      </w:r>
      <w:r>
        <w:rPr>
          <w:rFonts w:hint="eastAsia" w:ascii="宋体" w:hAnsi="宋体"/>
          <w:sz w:val="24"/>
          <w:szCs w:val="24"/>
          <w:lang w:val="en-US" w:eastAsia="zh-CN"/>
        </w:rPr>
        <w:t>打造行业标杆、凝聚幸福员工</w:t>
      </w:r>
      <w:r>
        <w:rPr>
          <w:rFonts w:hint="eastAsia" w:ascii="宋体" w:hAnsi="宋体"/>
          <w:sz w:val="24"/>
          <w:szCs w:val="24"/>
        </w:rPr>
        <w:t>。</w:t>
      </w:r>
    </w:p>
    <w:p w14:paraId="3C639EE0">
      <w:pPr>
        <w:snapToGrid w:val="0"/>
        <w:spacing w:line="360" w:lineRule="auto"/>
        <w:ind w:firstLine="420"/>
        <w:rPr>
          <w:rFonts w:hint="eastAsia" w:ascii="宋体" w:hAnsi="宋体"/>
          <w:sz w:val="24"/>
          <w:szCs w:val="24"/>
        </w:rPr>
      </w:pPr>
      <w:r>
        <w:rPr>
          <w:rFonts w:hint="eastAsia" w:ascii="宋体" w:hAnsi="宋体"/>
          <w:sz w:val="24"/>
          <w:szCs w:val="24"/>
        </w:rPr>
        <w:t>3、核心价值观：</w:t>
      </w:r>
      <w:r>
        <w:rPr>
          <w:rFonts w:hint="eastAsia" w:ascii="宋体" w:hAnsi="宋体"/>
          <w:sz w:val="24"/>
          <w:szCs w:val="24"/>
          <w:lang w:val="en-US" w:eastAsia="zh-CN"/>
        </w:rPr>
        <w:t>用良知之心、铸良知产品、做良知企业</w:t>
      </w:r>
      <w:r>
        <w:rPr>
          <w:rFonts w:hint="eastAsia" w:ascii="宋体" w:hAnsi="宋体"/>
          <w:sz w:val="24"/>
          <w:szCs w:val="24"/>
        </w:rPr>
        <w:t>。</w:t>
      </w:r>
    </w:p>
    <w:p w14:paraId="3CFD7299">
      <w:pPr>
        <w:snapToGrid w:val="0"/>
        <w:spacing w:line="360" w:lineRule="auto"/>
        <w:ind w:firstLine="600" w:firstLineChars="250"/>
        <w:rPr>
          <w:rFonts w:hint="eastAsia" w:ascii="宋体" w:hAnsi="宋体" w:eastAsia="宋体" w:cs="Times New Roman"/>
          <w:sz w:val="24"/>
          <w:szCs w:val="24"/>
          <w:lang w:eastAsia="zh-CN"/>
        </w:rPr>
      </w:pPr>
      <w:r>
        <w:rPr>
          <w:rFonts w:hint="eastAsia" w:ascii="宋体" w:hAnsi="宋体" w:eastAsia="宋体" w:cs="Times New Roman"/>
          <w:sz w:val="24"/>
          <w:szCs w:val="24"/>
          <w:lang w:eastAsia="zh-CN"/>
        </w:rPr>
        <w:t>在特宏阀门集团有限公司，“用良知之心、铸良知产品、做良知企业” 绝非空洞的口号，而是融入企业血脉的行动指南。研发团队秉持良知之心，以对用户需求的深度洞察和对行业趋势的精准把握，投入大量精力攻克技术难题，确保每一项产品设计都经得起市场与时间的检验；生产车间里，工人们以精益求精的态度对待每一道工序，严格把控质量，将良知化作产品的每一处细节，只为交付可靠耐用的阀门；企业在市场竞争中坚守诚信底线，无论是合同履行、售后服务，还是与合作伙伴的协作，都以良知为准则，赢得客户与行业的尊重。这种核心价值观，不仅是特宏阀门打造高品质产品的基石，更是其在行业中长久立足、不断发展壮大的精神内核，推动企业向着 “打造行业标杆、凝聚幸福员工” 的愿景稳步前行。</w:t>
      </w:r>
    </w:p>
    <w:p w14:paraId="72642C78">
      <w:pPr>
        <w:pStyle w:val="3"/>
        <w:rPr>
          <w:rFonts w:hint="eastAsia" w:ascii="Calibri Light" w:hAnsi="Calibri Light" w:eastAsia="宋体" w:cs="Times New Roman"/>
          <w:b/>
          <w:bCs/>
          <w:sz w:val="32"/>
          <w:szCs w:val="32"/>
        </w:rPr>
      </w:pPr>
      <w:r>
        <w:rPr>
          <w:rFonts w:hint="eastAsia" w:ascii="Calibri Light" w:hAnsi="Calibri Light" w:eastAsia="宋体" w:cs="Times New Roman"/>
          <w:b/>
          <w:bCs/>
          <w:sz w:val="32"/>
          <w:szCs w:val="32"/>
        </w:rPr>
        <w:t>三、核心文化</w:t>
      </w:r>
      <w:bookmarkEnd w:id="15"/>
    </w:p>
    <w:p w14:paraId="45AA286C">
      <w:pPr>
        <w:spacing w:line="360" w:lineRule="auto"/>
        <w:ind w:firstLine="480" w:firstLineChars="200"/>
        <w:rPr>
          <w:sz w:val="24"/>
          <w:szCs w:val="24"/>
        </w:rPr>
      </w:pPr>
      <w:r>
        <w:rPr>
          <w:rFonts w:hint="eastAsia"/>
          <w:sz w:val="24"/>
          <w:szCs w:val="24"/>
          <w:lang w:eastAsia="zh-CN"/>
        </w:rPr>
        <w:t>特宏阀门集团有限公司</w:t>
      </w:r>
      <w:r>
        <w:rPr>
          <w:rFonts w:hint="eastAsia"/>
          <w:color w:val="000000"/>
          <w:sz w:val="24"/>
          <w:szCs w:val="24"/>
        </w:rPr>
        <w:t>经过长期积淀、提炼、升华，形成了</w:t>
      </w:r>
      <w:r>
        <w:rPr>
          <w:rFonts w:hint="eastAsia"/>
          <w:color w:val="000000"/>
          <w:sz w:val="24"/>
          <w:szCs w:val="24"/>
          <w:lang w:eastAsia="zh-CN"/>
        </w:rPr>
        <w:t>良好的</w:t>
      </w:r>
      <w:r>
        <w:rPr>
          <w:rFonts w:hint="eastAsia"/>
          <w:color w:val="000000"/>
          <w:sz w:val="24"/>
          <w:szCs w:val="24"/>
        </w:rPr>
        <w:t>企业文化体系。包含有精神文化、制度化文化和物质文化。</w:t>
      </w:r>
      <w:r>
        <w:rPr>
          <w:rFonts w:hint="eastAsia"/>
          <w:sz w:val="24"/>
          <w:szCs w:val="24"/>
        </w:rPr>
        <w:t>精神文化即蕴涵心灵深处的意识形态，也称之为企业之魂，包括企业精神、企业宗旨、经营理念、价值观念、管理哲学、道德准则、企业口号等，是公司两个文明建设的文化性凝炼，是特色企业文化的核心内容。制度文化是公司在生产、经营和各种组织活动中，形成的文件化的文化表述内容。企业文化是公司在物质文明建设中，所形成的一切有形的资产，在文化意义上的体现。</w:t>
      </w:r>
      <w:r>
        <w:rPr>
          <w:rFonts w:hint="eastAsia"/>
          <w:color w:val="000000"/>
          <w:sz w:val="24"/>
          <w:szCs w:val="24"/>
          <w:lang w:eastAsia="zh-CN"/>
        </w:rPr>
        <w:t>特宏阀门集团有限公司</w:t>
      </w:r>
      <w:r>
        <w:rPr>
          <w:rFonts w:hint="eastAsia"/>
          <w:color w:val="000000"/>
          <w:sz w:val="24"/>
          <w:szCs w:val="24"/>
        </w:rPr>
        <w:t>核心企业文化如下：</w:t>
      </w:r>
    </w:p>
    <w:tbl>
      <w:tblPr>
        <w:tblStyle w:val="14"/>
        <w:tblW w:w="919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FFFFFF"/>
        <w:tblLayout w:type="fixed"/>
        <w:tblCellMar>
          <w:top w:w="0" w:type="dxa"/>
          <w:left w:w="108" w:type="dxa"/>
          <w:bottom w:w="0" w:type="dxa"/>
          <w:right w:w="108" w:type="dxa"/>
        </w:tblCellMar>
      </w:tblPr>
      <w:tblGrid>
        <w:gridCol w:w="2152"/>
        <w:gridCol w:w="7046"/>
      </w:tblGrid>
      <w:tr w14:paraId="470FCF1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47" w:hRule="atLeast"/>
          <w:jc w:val="center"/>
        </w:trPr>
        <w:tc>
          <w:tcPr>
            <w:tcW w:w="2152" w:type="dxa"/>
            <w:tcBorders>
              <w:tl2br w:val="nil"/>
              <w:tr2bl w:val="nil"/>
            </w:tcBorders>
            <w:shd w:val="clear" w:color="auto" w:fill="FFFFFF"/>
            <w:noWrap w:val="0"/>
            <w:vAlign w:val="center"/>
          </w:tcPr>
          <w:p w14:paraId="4BED53B2">
            <w:pPr>
              <w:widowControl/>
              <w:jc w:val="center"/>
              <w:rPr>
                <w:rFonts w:ascii="宋体" w:hAnsi="宋体" w:cs="宋体"/>
                <w:b/>
                <w:bCs/>
                <w:color w:val="auto"/>
                <w:kern w:val="0"/>
                <w:szCs w:val="21"/>
              </w:rPr>
            </w:pPr>
            <w:r>
              <w:rPr>
                <w:rFonts w:hint="eastAsia" w:ascii="宋体" w:hAnsi="宋体" w:cs="宋体"/>
                <w:b/>
                <w:bCs/>
                <w:color w:val="auto"/>
                <w:kern w:val="0"/>
                <w:szCs w:val="21"/>
              </w:rPr>
              <w:t>项目</w:t>
            </w:r>
          </w:p>
        </w:tc>
        <w:tc>
          <w:tcPr>
            <w:tcW w:w="7046" w:type="dxa"/>
            <w:tcBorders>
              <w:tl2br w:val="nil"/>
              <w:tr2bl w:val="nil"/>
            </w:tcBorders>
            <w:shd w:val="clear" w:color="auto" w:fill="FFFFFF"/>
            <w:noWrap w:val="0"/>
            <w:vAlign w:val="center"/>
          </w:tcPr>
          <w:p w14:paraId="374A38D0">
            <w:pPr>
              <w:widowControl/>
              <w:jc w:val="center"/>
              <w:rPr>
                <w:rFonts w:ascii="宋体" w:hAnsi="宋体" w:cs="宋体"/>
                <w:b/>
                <w:bCs/>
                <w:color w:val="auto"/>
                <w:kern w:val="0"/>
                <w:szCs w:val="21"/>
              </w:rPr>
            </w:pPr>
            <w:r>
              <w:rPr>
                <w:rFonts w:hint="eastAsia" w:ascii="宋体" w:hAnsi="宋体" w:cs="宋体"/>
                <w:b/>
                <w:bCs/>
                <w:color w:val="auto"/>
                <w:kern w:val="0"/>
                <w:szCs w:val="21"/>
              </w:rPr>
              <w:t>内容</w:t>
            </w:r>
          </w:p>
        </w:tc>
      </w:tr>
      <w:tr w14:paraId="37C7FCF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2152" w:type="dxa"/>
            <w:tcBorders>
              <w:tl2br w:val="nil"/>
              <w:tr2bl w:val="nil"/>
            </w:tcBorders>
            <w:shd w:val="clear" w:color="auto" w:fill="FFFFFF"/>
            <w:noWrap w:val="0"/>
            <w:vAlign w:val="center"/>
          </w:tcPr>
          <w:p w14:paraId="50B51E65">
            <w:pPr>
              <w:keepNext w:val="0"/>
              <w:keepLines w:val="0"/>
              <w:pageBreakBefore w:val="0"/>
              <w:widowControl/>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kern w:val="0"/>
                <w:szCs w:val="21"/>
                <w:lang w:eastAsia="zh-CN"/>
              </w:rPr>
            </w:pPr>
            <w:r>
              <w:rPr>
                <w:rFonts w:hint="eastAsia" w:ascii="宋体" w:hAnsi="宋体" w:eastAsia="宋体" w:cs="宋体"/>
                <w:color w:val="auto"/>
                <w:kern w:val="0"/>
                <w:szCs w:val="21"/>
                <w:lang w:eastAsia="zh-CN"/>
              </w:rPr>
              <w:t>企业使命</w:t>
            </w:r>
          </w:p>
        </w:tc>
        <w:tc>
          <w:tcPr>
            <w:tcW w:w="7046" w:type="dxa"/>
            <w:tcBorders>
              <w:tl2br w:val="nil"/>
              <w:tr2bl w:val="nil"/>
            </w:tcBorders>
            <w:shd w:val="clear" w:color="auto" w:fill="FFFFFF"/>
            <w:noWrap w:val="0"/>
            <w:vAlign w:val="center"/>
          </w:tcPr>
          <w:p w14:paraId="4BA792EA">
            <w:pPr>
              <w:keepNext w:val="0"/>
              <w:keepLines w:val="0"/>
              <w:pageBreakBefore w:val="0"/>
              <w:widowControl/>
              <w:kinsoku/>
              <w:wordWrap/>
              <w:overflowPunct/>
              <w:topLinePunct w:val="0"/>
              <w:autoSpaceDE w:val="0"/>
              <w:autoSpaceDN w:val="0"/>
              <w:bidi w:val="0"/>
              <w:adjustRightInd/>
              <w:snapToGrid/>
              <w:ind w:left="105" w:leftChars="50" w:right="0" w:rightChars="0"/>
              <w:jc w:val="left"/>
              <w:textAlignment w:val="auto"/>
              <w:rPr>
                <w:rFonts w:hint="eastAsia" w:ascii="宋体" w:hAnsi="宋体" w:eastAsia="宋体" w:cs="宋体"/>
                <w:color w:val="auto"/>
                <w:kern w:val="0"/>
                <w:szCs w:val="21"/>
                <w:lang w:eastAsia="zh-CN"/>
              </w:rPr>
            </w:pPr>
            <w:r>
              <w:rPr>
                <w:rFonts w:hint="eastAsia" w:ascii="宋体" w:hAnsi="宋体" w:eastAsia="宋体" w:cs="宋体"/>
                <w:color w:val="auto"/>
                <w:kern w:val="0"/>
                <w:szCs w:val="21"/>
                <w:lang w:eastAsia="zh-CN"/>
              </w:rPr>
              <w:t>为智能制造做贡献，让流体连接更精准高效、安全可靠</w:t>
            </w:r>
          </w:p>
        </w:tc>
      </w:tr>
      <w:tr w14:paraId="6DE887B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18" w:hRule="atLeast"/>
          <w:jc w:val="center"/>
        </w:trPr>
        <w:tc>
          <w:tcPr>
            <w:tcW w:w="2152" w:type="dxa"/>
            <w:tcBorders>
              <w:tl2br w:val="nil"/>
              <w:tr2bl w:val="nil"/>
            </w:tcBorders>
            <w:shd w:val="clear" w:color="auto" w:fill="FFFFFF"/>
            <w:noWrap w:val="0"/>
            <w:vAlign w:val="center"/>
          </w:tcPr>
          <w:p w14:paraId="66C43260">
            <w:pPr>
              <w:keepNext w:val="0"/>
              <w:keepLines w:val="0"/>
              <w:pageBreakBefore w:val="0"/>
              <w:widowControl/>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kern w:val="0"/>
                <w:szCs w:val="21"/>
                <w:lang w:eastAsia="zh-CN"/>
              </w:rPr>
            </w:pPr>
            <w:r>
              <w:rPr>
                <w:rFonts w:hint="eastAsia" w:ascii="宋体" w:hAnsi="宋体" w:eastAsia="宋体" w:cs="宋体"/>
                <w:color w:val="auto"/>
                <w:kern w:val="0"/>
                <w:szCs w:val="21"/>
                <w:lang w:eastAsia="zh-CN"/>
              </w:rPr>
              <w:t>企业愿景</w:t>
            </w:r>
          </w:p>
        </w:tc>
        <w:tc>
          <w:tcPr>
            <w:tcW w:w="7046" w:type="dxa"/>
            <w:tcBorders>
              <w:tl2br w:val="nil"/>
              <w:tr2bl w:val="nil"/>
            </w:tcBorders>
            <w:shd w:val="clear" w:color="auto" w:fill="FFFFFF"/>
            <w:noWrap w:val="0"/>
            <w:vAlign w:val="center"/>
          </w:tcPr>
          <w:p w14:paraId="3E2D2DFA">
            <w:pPr>
              <w:keepNext w:val="0"/>
              <w:keepLines w:val="0"/>
              <w:pageBreakBefore w:val="0"/>
              <w:widowControl/>
              <w:kinsoku/>
              <w:wordWrap/>
              <w:overflowPunct/>
              <w:topLinePunct w:val="0"/>
              <w:autoSpaceDE w:val="0"/>
              <w:autoSpaceDN w:val="0"/>
              <w:bidi w:val="0"/>
              <w:adjustRightInd/>
              <w:snapToGrid/>
              <w:ind w:left="105" w:leftChars="50" w:right="0" w:rightChars="0"/>
              <w:jc w:val="left"/>
              <w:textAlignment w:val="auto"/>
              <w:rPr>
                <w:rFonts w:hint="eastAsia" w:ascii="宋体" w:hAnsi="宋体" w:eastAsia="宋体" w:cs="宋体"/>
                <w:color w:val="auto"/>
                <w:kern w:val="0"/>
                <w:szCs w:val="21"/>
                <w:lang w:eastAsia="zh-CN"/>
              </w:rPr>
            </w:pPr>
            <w:r>
              <w:rPr>
                <w:rFonts w:hint="eastAsia" w:ascii="宋体" w:hAnsi="宋体" w:eastAsia="宋体" w:cs="宋体"/>
                <w:color w:val="auto"/>
                <w:kern w:val="0"/>
                <w:szCs w:val="21"/>
                <w:lang w:val="en-US" w:eastAsia="zh-CN"/>
              </w:rPr>
              <w:t>打造行业标杆凝聚幸福员工</w:t>
            </w:r>
          </w:p>
        </w:tc>
      </w:tr>
      <w:tr w14:paraId="62C75FF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76" w:hRule="atLeast"/>
          <w:jc w:val="center"/>
        </w:trPr>
        <w:tc>
          <w:tcPr>
            <w:tcW w:w="2152" w:type="dxa"/>
            <w:tcBorders>
              <w:tl2br w:val="nil"/>
              <w:tr2bl w:val="nil"/>
            </w:tcBorders>
            <w:shd w:val="clear" w:color="auto" w:fill="FFFFFF"/>
            <w:noWrap w:val="0"/>
            <w:vAlign w:val="center"/>
          </w:tcPr>
          <w:p w14:paraId="3F9B92C2">
            <w:pPr>
              <w:keepNext w:val="0"/>
              <w:keepLines w:val="0"/>
              <w:pageBreakBefore w:val="0"/>
              <w:widowControl/>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kern w:val="0"/>
                <w:szCs w:val="21"/>
                <w:lang w:eastAsia="zh-CN"/>
              </w:rPr>
            </w:pPr>
            <w:r>
              <w:rPr>
                <w:rFonts w:hint="eastAsia" w:ascii="宋体" w:hAnsi="宋体" w:eastAsia="宋体" w:cs="宋体"/>
                <w:color w:val="auto"/>
                <w:kern w:val="0"/>
                <w:szCs w:val="21"/>
                <w:lang w:eastAsia="zh-CN"/>
              </w:rPr>
              <w:t>核心价值观</w:t>
            </w:r>
          </w:p>
        </w:tc>
        <w:tc>
          <w:tcPr>
            <w:tcW w:w="7046" w:type="dxa"/>
            <w:tcBorders>
              <w:tl2br w:val="nil"/>
              <w:tr2bl w:val="nil"/>
            </w:tcBorders>
            <w:shd w:val="clear" w:color="auto" w:fill="FFFFFF"/>
            <w:noWrap w:val="0"/>
            <w:vAlign w:val="center"/>
          </w:tcPr>
          <w:p w14:paraId="27100686">
            <w:pPr>
              <w:keepNext w:val="0"/>
              <w:keepLines w:val="0"/>
              <w:pageBreakBefore w:val="0"/>
              <w:widowControl/>
              <w:kinsoku/>
              <w:wordWrap/>
              <w:overflowPunct/>
              <w:topLinePunct w:val="0"/>
              <w:autoSpaceDE w:val="0"/>
              <w:autoSpaceDN w:val="0"/>
              <w:bidi w:val="0"/>
              <w:adjustRightInd/>
              <w:snapToGrid/>
              <w:ind w:left="105" w:leftChars="50" w:right="0" w:rightChars="0"/>
              <w:jc w:val="left"/>
              <w:textAlignment w:val="auto"/>
              <w:rPr>
                <w:rFonts w:hint="eastAsia" w:ascii="宋体" w:hAnsi="宋体" w:eastAsia="宋体" w:cs="宋体"/>
                <w:color w:val="auto"/>
                <w:kern w:val="0"/>
                <w:szCs w:val="21"/>
                <w:lang w:eastAsia="zh-CN"/>
              </w:rPr>
            </w:pPr>
            <w:r>
              <w:rPr>
                <w:rFonts w:hint="eastAsia" w:ascii="宋体" w:hAnsi="宋体" w:eastAsia="宋体" w:cs="宋体"/>
                <w:color w:val="auto"/>
                <w:kern w:val="0"/>
                <w:szCs w:val="21"/>
                <w:lang w:val="en-US" w:eastAsia="zh-CN"/>
              </w:rPr>
              <w:t>用良知之心 铸良知产品 做良知企业</w:t>
            </w:r>
          </w:p>
        </w:tc>
      </w:tr>
    </w:tbl>
    <w:p w14:paraId="0C61D08E">
      <w:pPr>
        <w:spacing w:line="360" w:lineRule="auto"/>
        <w:ind w:firstLine="480" w:firstLineChars="200"/>
        <w:rPr>
          <w:rFonts w:hint="eastAsia"/>
          <w:sz w:val="24"/>
          <w:szCs w:val="24"/>
        </w:rPr>
      </w:pPr>
      <w:r>
        <w:rPr>
          <w:rFonts w:hint="eastAsia"/>
          <w:sz w:val="24"/>
          <w:szCs w:val="24"/>
        </w:rPr>
        <w:t>在工业生产领域，阀门作为流体控制系统的关键部件，其性能优劣直接关系到整个生产流程的稳定与效率。“为智能制造做贡献” 体现了企业紧跟时代发展步伐，积极投身于工业 4.0 和智能制造的时代浪潮。企业通过引入先进的自动化生产设备、大数据分析技术、人工智能算法，不断优化生产流程，提高生产效率与产品质量，实现从传统制造向智能制造的转型升级，为推动行业整体的智能化发展贡献力量。​</w:t>
      </w:r>
    </w:p>
    <w:p w14:paraId="057BAA85">
      <w:pPr>
        <w:spacing w:line="360" w:lineRule="auto"/>
        <w:ind w:firstLine="480" w:firstLineChars="200"/>
        <w:rPr>
          <w:rFonts w:hint="eastAsia"/>
          <w:sz w:val="24"/>
          <w:szCs w:val="24"/>
        </w:rPr>
      </w:pPr>
      <w:r>
        <w:rPr>
          <w:rFonts w:hint="eastAsia"/>
          <w:sz w:val="24"/>
          <w:szCs w:val="24"/>
        </w:rPr>
        <w:t>“让流体连接更精准高效、安全可靠” 则聚焦于企业核心产品的价值创造。精准高效意味着企业致力于研发和生产高精度的阀门产品，能够根据不同的工况需求，精确控制流体的流量、压力和流向，减少能源损耗，提高生产效率。例如，在石油化工、天然气输送等行业，精准的流体控制对于保障生产安全、提高资源利用率至关重要。安全可靠则是企业对产品质量和使用安全的庄严承诺，企业从原材料采购、生产工艺把控到产品质量检测，每一个环节都严格遵循高标准、严要求，确保阀门在各种复杂环境下都能稳定运行，避免因阀门故障引发安全事故，为客户的生产运营和人员安全保驾护航。</w:t>
      </w:r>
    </w:p>
    <w:p w14:paraId="32A689AD">
      <w:pPr>
        <w:spacing w:line="360" w:lineRule="auto"/>
        <w:ind w:firstLine="480" w:firstLineChars="200"/>
        <w:rPr>
          <w:rFonts w:hint="eastAsia"/>
          <w:sz w:val="24"/>
          <w:szCs w:val="24"/>
        </w:rPr>
      </w:pPr>
      <w:r>
        <w:rPr>
          <w:rFonts w:hint="eastAsia"/>
          <w:sz w:val="24"/>
          <w:szCs w:val="24"/>
        </w:rPr>
        <w:t>“打造行业标杆” 彰显了企业追求卓越、引领行业发展的雄心壮志。成为行业标杆不仅意味着企业在产品质量、技术创新、生产规模等方面达到行业领先水平，更要在企业管理、品牌建设、社会责任等多个维度树立典范。企业通过持续的技术研发投入，不断推出具有创新性和竞争力的产品，引领行业技术发展潮流；优化企业管理模式，提高运营效率，降低成本，形成独特的管理优势；加强品牌建设，提升品牌知名度和美誉度，赢得客户和市场的广泛认可。同时，积极履行社会责任，关注环境保护、员工权益和社会公益事业，树立良好的企业形象，为行业的可持续发展贡献力量。​</w:t>
      </w:r>
    </w:p>
    <w:p w14:paraId="3F21232B">
      <w:pPr>
        <w:spacing w:line="360" w:lineRule="auto"/>
        <w:ind w:firstLine="480" w:firstLineChars="200"/>
        <w:rPr>
          <w:rFonts w:hint="eastAsia"/>
          <w:sz w:val="24"/>
          <w:szCs w:val="24"/>
          <w:lang w:eastAsia="zh-CN"/>
        </w:rPr>
      </w:pPr>
      <w:r>
        <w:rPr>
          <w:rFonts w:hint="eastAsia"/>
          <w:sz w:val="24"/>
          <w:szCs w:val="24"/>
        </w:rPr>
        <w:t>“凝聚幸福员工” 体现了企业以人为本的发展理念。员工是企业发展的核心动力，只有员工感到幸福，才能全身心地投入工作，为企业创造更大的价值。企业通过提供良好的工作环境、具有竞争力的薪酬待遇和广阔的职业发展空间，满足员工的物质需求和精神追求。注重员工的培训与成长，为员工提供丰富的学习机会和晋升通道，帮助员工实现个人价值。营造和谐、积极的企业文化氛围，加强员工之间的沟通与协作，增强员工的归属感和团队凝聚力。让员工在工作中获得成就感和幸福感，与企业共同成长、共同发展</w:t>
      </w:r>
      <w:r>
        <w:rPr>
          <w:rFonts w:hint="eastAsia"/>
          <w:sz w:val="24"/>
          <w:szCs w:val="24"/>
          <w:lang w:eastAsia="zh-CN"/>
        </w:rPr>
        <w:t>。</w:t>
      </w:r>
    </w:p>
    <w:p w14:paraId="221EA25C">
      <w:pPr>
        <w:spacing w:line="360" w:lineRule="auto"/>
        <w:ind w:firstLine="480" w:firstLineChars="200"/>
        <w:rPr>
          <w:rFonts w:hint="eastAsia"/>
          <w:sz w:val="24"/>
          <w:szCs w:val="24"/>
          <w:lang w:eastAsia="zh-CN"/>
        </w:rPr>
      </w:pPr>
      <w:r>
        <w:rPr>
          <w:rFonts w:hint="eastAsia"/>
          <w:sz w:val="24"/>
          <w:szCs w:val="24"/>
          <w:lang w:eastAsia="zh-CN"/>
        </w:rPr>
        <w:t>“用良知之心” 强调企业员工在工作中要秉持道德良知和职业操守。无论是研发人员、生产工人还是管理人员，都要以高度的责任感和使命感对待自己的工作，坚守诚信、正直的原则，不做损害客户利益、违背职业道德的事情。在面对利益诱惑时，能够坚守底线，保持清醒的头脑，始终将客户需求和社会利益放在首位。</w:t>
      </w:r>
    </w:p>
    <w:p w14:paraId="4D110237">
      <w:pPr>
        <w:spacing w:line="360" w:lineRule="auto"/>
        <w:ind w:firstLine="480" w:firstLineChars="200"/>
        <w:rPr>
          <w:rFonts w:hint="eastAsia"/>
          <w:sz w:val="24"/>
          <w:szCs w:val="24"/>
          <w:lang w:eastAsia="zh-CN"/>
        </w:rPr>
      </w:pPr>
      <w:r>
        <w:rPr>
          <w:rFonts w:hint="eastAsia"/>
          <w:sz w:val="24"/>
          <w:szCs w:val="24"/>
          <w:lang w:eastAsia="zh-CN"/>
        </w:rPr>
        <w:t>“铸良知产品” 是企业对产品质量的严格要求和庄严承诺。企业深知产品质量是企业生存和发展的根本，只有生产出高质量、安全可靠的产品，才能赢得客户的信任和市场的认可。在产品生产过程中，企业严格把控每一个环节，从原材料的筛选到产品的组装、检测，都遵循最严格的质量标准。不偷工减料，不弄虚作假，以精益求精的态度对待每一件产品，确保每一个出厂的阀门都符合甚至超越客户的期望。</w:t>
      </w:r>
    </w:p>
    <w:p w14:paraId="6305BC33">
      <w:pPr>
        <w:spacing w:line="360" w:lineRule="auto"/>
        <w:ind w:firstLine="480" w:firstLineChars="200"/>
        <w:rPr>
          <w:rFonts w:hint="eastAsia"/>
          <w:sz w:val="24"/>
          <w:szCs w:val="24"/>
          <w:lang w:eastAsia="zh-CN"/>
        </w:rPr>
      </w:pPr>
      <w:r>
        <w:rPr>
          <w:rFonts w:hint="eastAsia"/>
          <w:sz w:val="24"/>
          <w:szCs w:val="24"/>
          <w:lang w:eastAsia="zh-CN"/>
        </w:rPr>
        <w:t>“做良知企业” 则将企业的社会责任提升到了一个新的高度。企业不仅仅是追求经济利益的组织，更是社会的重要组成部分，肩负着推动社会进步、促进可持续发展的责任。企业在经营过程中，积极关注环境保护、节能减排，采用绿色生产技术和工艺，减少对环境的污染；遵守法律法规，诚信经营，维护市场秩序；积极参与社会公益事业，回馈社会，为解决社会问题贡献力量。通过践行良知企业的价值观，树立良好的企业形象，实现企业与社会的和谐共生、共同发展。</w:t>
      </w:r>
    </w:p>
    <w:p w14:paraId="60D7E94E">
      <w:pPr>
        <w:spacing w:line="360" w:lineRule="auto"/>
        <w:ind w:firstLine="480" w:firstLineChars="200"/>
        <w:rPr>
          <w:rFonts w:hint="eastAsia"/>
          <w:sz w:val="24"/>
          <w:szCs w:val="24"/>
          <w:lang w:eastAsia="zh-CN"/>
        </w:rPr>
      </w:pPr>
      <w:r>
        <w:rPr>
          <w:rFonts w:hint="eastAsia"/>
          <w:sz w:val="24"/>
          <w:szCs w:val="24"/>
          <w:lang w:eastAsia="zh-CN"/>
        </w:rPr>
        <w:t>企业的使命、愿景和价值观相互关联、相辅相成，共同构成了企业的核心价值体系。它们不仅是企业发展的行动指南，更是激励全体员工团结奋斗、追求卓越的精神动力。在未来的发展道路上，企业将始终坚守使命、追逐愿景、践行价值观，不断创造更大的价值，实现可持续发展。</w:t>
      </w:r>
    </w:p>
    <w:p w14:paraId="35ACA866">
      <w:pPr>
        <w:pStyle w:val="3"/>
        <w:rPr>
          <w:rFonts w:hint="eastAsia" w:ascii="Calibri Light" w:hAnsi="Calibri Light" w:eastAsia="宋体" w:cs="Times New Roman"/>
          <w:b/>
          <w:bCs/>
          <w:sz w:val="32"/>
          <w:szCs w:val="32"/>
        </w:rPr>
      </w:pPr>
      <w:bookmarkStart w:id="16" w:name="_Toc12511"/>
      <w:r>
        <w:rPr>
          <w:rFonts w:hint="eastAsia" w:ascii="Calibri Light" w:hAnsi="Calibri Light" w:eastAsia="宋体" w:cs="Times New Roman"/>
          <w:b/>
          <w:bCs/>
          <w:sz w:val="32"/>
          <w:szCs w:val="32"/>
        </w:rPr>
        <w:t>四、组织机构</w:t>
      </w:r>
      <w:bookmarkEnd w:id="16"/>
      <w:r>
        <w:rPr>
          <w:rFonts w:hint="eastAsia" w:ascii="Calibri Light" w:hAnsi="Calibri Light" w:eastAsia="宋体" w:cs="Times New Roman"/>
          <w:b/>
          <w:bCs/>
          <w:sz w:val="32"/>
          <w:szCs w:val="32"/>
        </w:rPr>
        <w:t>和治理系统</w:t>
      </w:r>
    </w:p>
    <w:p w14:paraId="37C0A125">
      <w:pPr>
        <w:spacing w:line="360" w:lineRule="auto"/>
        <w:ind w:firstLine="480" w:firstLineChars="200"/>
        <w:rPr>
          <w:rFonts w:hint="eastAsia" w:ascii="宋体" w:hAnsi="宋体"/>
          <w:color w:val="000000"/>
          <w:sz w:val="24"/>
          <w:lang w:eastAsia="zh-CN"/>
        </w:rPr>
      </w:pPr>
      <w:r>
        <w:rPr>
          <w:rFonts w:hint="eastAsia" w:ascii="宋体" w:hAnsi="宋体"/>
          <w:color w:val="000000"/>
          <w:sz w:val="24"/>
          <w:lang w:eastAsia="zh-CN"/>
        </w:rPr>
        <w:t>公司实行董事会领导下的总经理负责制。董事会是公司的最高决策机构，负责制定公司的战略方向、重大决策和政策。总经理在董事会的授权下，负责公司的日常经营管理决策，组织实施董事会决议，并向董事会报告工作进展和结果。各部门负责人在各自的职责范围内，根据公司的战略和决策，制定具体的工作计划和方案，并组织实施。</w:t>
      </w:r>
    </w:p>
    <w:p w14:paraId="3F9DD8CC">
      <w:pPr>
        <w:spacing w:line="360" w:lineRule="auto"/>
        <w:ind w:firstLine="480" w:firstLineChars="200"/>
        <w:rPr>
          <w:rFonts w:hint="eastAsia" w:ascii="宋体" w:hAnsi="宋体"/>
          <w:color w:val="000000"/>
          <w:sz w:val="24"/>
          <w:lang w:eastAsia="zh-CN"/>
        </w:rPr>
      </w:pPr>
      <w:r>
        <w:rPr>
          <w:rFonts w:hint="eastAsia" w:ascii="宋体" w:hAnsi="宋体"/>
          <w:color w:val="000000"/>
          <w:sz w:val="24"/>
          <w:lang w:eastAsia="zh-CN"/>
        </w:rPr>
        <w:t>公司建立了完善的监督机制，包括内部监督和外部监督。内部监督主要由监事会、审计部门和质量管理部门等组成。监事会负责监督公司的财务状况、董事和高级管理人员的履职情况等；审计部门定期对公司的财务收支、经济活动和内部控制进行审计，发现问题并提出改进建议；质量管理部门对生产过程和产品质量进行监督检查，确保产品质量符合标准。外部监督主要来自政府监管部门、行业协会和社会公众等，公司遵守相关法律法规和行业规范，接受外部监督和检查。</w:t>
      </w:r>
    </w:p>
    <w:p w14:paraId="65C5E77C">
      <w:pPr>
        <w:spacing w:line="360" w:lineRule="auto"/>
        <w:ind w:firstLine="480" w:firstLineChars="200"/>
        <w:rPr>
          <w:rFonts w:hint="eastAsia" w:ascii="宋体" w:hAnsi="宋体"/>
          <w:color w:val="000000"/>
          <w:sz w:val="24"/>
          <w:lang w:eastAsia="zh-CN"/>
        </w:rPr>
      </w:pPr>
      <w:r>
        <w:rPr>
          <w:rFonts w:hint="eastAsia" w:ascii="宋体" w:hAnsi="宋体"/>
          <w:color w:val="000000"/>
          <w:sz w:val="24"/>
          <w:lang w:eastAsia="zh-CN"/>
        </w:rPr>
        <w:t>公司建立了一套科学合理的激励机制，以激发员工的工作积极性和创造力。激励机制包括物质激励和精神激励两个方面。物质激励主要通过薪酬体系、绩效考核和奖励制度等实现，根据员工的工作表现和贡献，给予相应的薪酬待遇和奖励；精神激励主要通过表彰优秀员工、提供晋升机会、组织员工活动等方式，增强员工的归属感和荣誉感，激发员工的工作热情和忠诚度。</w:t>
      </w:r>
    </w:p>
    <w:p w14:paraId="70F0E03B">
      <w:pPr>
        <w:spacing w:line="360" w:lineRule="auto"/>
        <w:ind w:firstLine="480" w:firstLineChars="200"/>
        <w:rPr>
          <w:rFonts w:hint="eastAsia" w:ascii="宋体" w:hAnsi="宋体"/>
          <w:color w:val="000000"/>
          <w:sz w:val="24"/>
          <w:lang w:eastAsia="zh-CN"/>
        </w:rPr>
      </w:pPr>
      <w:r>
        <w:rPr>
          <w:rFonts w:hint="eastAsia" w:ascii="宋体" w:hAnsi="宋体"/>
          <w:color w:val="000000"/>
          <w:sz w:val="24"/>
          <w:lang w:eastAsia="zh-CN"/>
        </w:rPr>
        <w:t>公司重视风险管理，建立了完善的风险管理体系。风险管理体系包括风险识别、风险评估、风险应对和风险监控等环节。公司定期对市场风险、技术风险、生产风险、财务风险等进行识别和评估，制定相应的风险应对措施，如风险规避、风险降低、风险转移和风险接受等。同时，公司对风险进行实时监控，及时发现风险变化并调整应对措施，确保公司的稳健发展。</w:t>
      </w:r>
    </w:p>
    <w:p w14:paraId="4BA0BC92">
      <w:pPr>
        <w:spacing w:line="360" w:lineRule="auto"/>
        <w:rPr>
          <w:b/>
          <w:color w:val="000000"/>
          <w:sz w:val="24"/>
          <w:szCs w:val="24"/>
        </w:rPr>
      </w:pPr>
      <w:r>
        <w:rPr>
          <w:rFonts w:hint="eastAsia"/>
          <w:b/>
          <w:color w:val="000000"/>
          <w:sz w:val="24"/>
          <w:szCs w:val="24"/>
        </w:rPr>
        <w:t>附：组织</w:t>
      </w:r>
      <w:r>
        <w:rPr>
          <w:rFonts w:hint="eastAsia"/>
          <w:b/>
          <w:color w:val="000000"/>
          <w:sz w:val="24"/>
          <w:szCs w:val="24"/>
          <w:lang w:eastAsia="zh-CN"/>
        </w:rPr>
        <w:t>架构</w:t>
      </w:r>
      <w:r>
        <w:rPr>
          <w:rFonts w:hint="eastAsia"/>
          <w:b/>
          <w:color w:val="000000"/>
          <w:sz w:val="24"/>
          <w:szCs w:val="24"/>
        </w:rPr>
        <w:t>图</w:t>
      </w:r>
    </w:p>
    <w:p w14:paraId="77A40B54">
      <w:pPr>
        <w:spacing w:line="360" w:lineRule="auto"/>
        <w:rPr>
          <w:rFonts w:hint="eastAsia" w:ascii="宋体" w:hAnsi="宋体" w:eastAsia="宋体" w:cs="仿宋_GB2312"/>
          <w:color w:val="000000"/>
          <w:sz w:val="28"/>
          <w:szCs w:val="28"/>
          <w:highlight w:val="none"/>
          <w:lang w:eastAsia="zh-CN"/>
        </w:rPr>
      </w:pPr>
      <w:r>
        <w:rPr>
          <w:rFonts w:hint="eastAsia" w:ascii="宋体" w:hAnsi="宋体" w:eastAsia="宋体" w:cs="仿宋_GB2312"/>
          <w:color w:val="000000"/>
          <w:sz w:val="28"/>
          <w:szCs w:val="28"/>
          <w:highlight w:val="none"/>
          <w:lang w:eastAsia="zh-CN"/>
        </w:rPr>
        <w:drawing>
          <wp:inline distT="0" distB="0" distL="114300" distR="114300">
            <wp:extent cx="5701030" cy="2014855"/>
            <wp:effectExtent l="0" t="0" r="13970" b="4445"/>
            <wp:docPr id="4" name="图片 9" descr="4 组织机构图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9" descr="4 组织机构图_00"/>
                    <pic:cNvPicPr>
                      <a:picLocks noChangeAspect="1"/>
                    </pic:cNvPicPr>
                  </pic:nvPicPr>
                  <pic:blipFill>
                    <a:blip r:embed="rId11"/>
                    <a:srcRect l="6624" t="27002" r="9682" b="31158"/>
                    <a:stretch>
                      <a:fillRect/>
                    </a:stretch>
                  </pic:blipFill>
                  <pic:spPr>
                    <a:xfrm>
                      <a:off x="0" y="0"/>
                      <a:ext cx="5701030" cy="2014855"/>
                    </a:xfrm>
                    <a:prstGeom prst="rect">
                      <a:avLst/>
                    </a:prstGeom>
                    <a:noFill/>
                    <a:ln>
                      <a:noFill/>
                    </a:ln>
                  </pic:spPr>
                </pic:pic>
              </a:graphicData>
            </a:graphic>
          </wp:inline>
        </w:drawing>
      </w:r>
    </w:p>
    <w:p w14:paraId="56CB428B">
      <w:pPr>
        <w:pStyle w:val="3"/>
        <w:rPr>
          <w:rFonts w:hint="eastAsia" w:ascii="Calibri Light" w:hAnsi="Calibri Light" w:eastAsia="宋体" w:cs="Times New Roman"/>
          <w:b/>
          <w:bCs/>
          <w:sz w:val="32"/>
          <w:szCs w:val="32"/>
        </w:rPr>
      </w:pPr>
      <w:bookmarkStart w:id="17" w:name="_Toc13339"/>
      <w:r>
        <w:rPr>
          <w:rFonts w:hint="eastAsia" w:ascii="Calibri Light" w:hAnsi="Calibri Light" w:eastAsia="宋体" w:cs="Times New Roman"/>
          <w:b/>
          <w:bCs/>
          <w:sz w:val="32"/>
          <w:szCs w:val="32"/>
        </w:rPr>
        <w:t>五、管理体系</w:t>
      </w:r>
      <w:bookmarkEnd w:id="17"/>
    </w:p>
    <w:p w14:paraId="469ADF54">
      <w:pPr>
        <w:keepNext w:val="0"/>
        <w:keepLines w:val="0"/>
        <w:pageBreakBefore w:val="0"/>
        <w:widowControl w:val="0"/>
        <w:kinsoku/>
        <w:wordWrap/>
        <w:overflowPunct/>
        <w:topLinePunct w:val="0"/>
        <w:autoSpaceDE w:val="0"/>
        <w:autoSpaceDN w:val="0"/>
        <w:bidi w:val="0"/>
        <w:adjustRightInd w:val="0"/>
        <w:spacing w:line="360" w:lineRule="auto"/>
        <w:ind w:left="90" w:firstLine="480" w:firstLineChars="200"/>
        <w:jc w:val="left"/>
        <w:textAlignment w:val="auto"/>
        <w:rPr>
          <w:rFonts w:hint="eastAsia"/>
          <w:color w:val="000000"/>
          <w:sz w:val="24"/>
          <w:szCs w:val="24"/>
        </w:rPr>
      </w:pPr>
      <w:r>
        <w:rPr>
          <w:rFonts w:hint="eastAsia"/>
          <w:color w:val="000000"/>
          <w:sz w:val="24"/>
          <w:szCs w:val="24"/>
        </w:rPr>
        <w:t>公司高度重视质量管理体系的建设，先后建立了</w:t>
      </w:r>
      <w:r>
        <w:rPr>
          <w:color w:val="000000"/>
          <w:sz w:val="24"/>
          <w:szCs w:val="24"/>
        </w:rPr>
        <w:t>ISO</w:t>
      </w:r>
      <w:r>
        <w:rPr>
          <w:rFonts w:hint="eastAsia"/>
          <w:color w:val="000000"/>
          <w:sz w:val="24"/>
          <w:szCs w:val="24"/>
          <w:lang w:val="en-US" w:eastAsia="zh-CN"/>
        </w:rPr>
        <w:t xml:space="preserve"> </w:t>
      </w:r>
      <w:r>
        <w:rPr>
          <w:color w:val="000000"/>
          <w:sz w:val="24"/>
          <w:szCs w:val="24"/>
        </w:rPr>
        <w:t>9001</w:t>
      </w:r>
      <w:r>
        <w:rPr>
          <w:rFonts w:hint="eastAsia"/>
          <w:color w:val="000000"/>
          <w:sz w:val="24"/>
          <w:szCs w:val="24"/>
          <w:lang w:eastAsia="zh-CN"/>
        </w:rPr>
        <w:t>：</w:t>
      </w:r>
      <w:r>
        <w:rPr>
          <w:rFonts w:hint="eastAsia"/>
          <w:color w:val="000000"/>
          <w:sz w:val="24"/>
          <w:szCs w:val="24"/>
          <w:lang w:val="en-US" w:eastAsia="zh-CN"/>
        </w:rPr>
        <w:t>2015</w:t>
      </w:r>
      <w:r>
        <w:rPr>
          <w:rFonts w:hint="eastAsia"/>
          <w:color w:val="000000"/>
          <w:sz w:val="24"/>
          <w:szCs w:val="24"/>
        </w:rPr>
        <w:t>质量管理体系、</w:t>
      </w:r>
      <w:r>
        <w:rPr>
          <w:color w:val="000000"/>
          <w:sz w:val="24"/>
          <w:szCs w:val="24"/>
        </w:rPr>
        <w:t>ISO</w:t>
      </w:r>
      <w:r>
        <w:rPr>
          <w:rFonts w:hint="eastAsia"/>
          <w:color w:val="000000"/>
          <w:sz w:val="24"/>
          <w:szCs w:val="24"/>
          <w:lang w:val="en-US" w:eastAsia="zh-CN"/>
        </w:rPr>
        <w:t xml:space="preserve"> </w:t>
      </w:r>
      <w:r>
        <w:rPr>
          <w:color w:val="000000"/>
          <w:sz w:val="24"/>
          <w:szCs w:val="24"/>
        </w:rPr>
        <w:t>14001</w:t>
      </w:r>
      <w:r>
        <w:rPr>
          <w:rFonts w:hint="eastAsia"/>
          <w:color w:val="000000"/>
          <w:sz w:val="24"/>
          <w:szCs w:val="24"/>
          <w:lang w:val="en-US" w:eastAsia="zh-CN"/>
        </w:rPr>
        <w:t>:2015</w:t>
      </w:r>
      <w:r>
        <w:rPr>
          <w:rFonts w:hint="eastAsia"/>
          <w:color w:val="000000"/>
          <w:sz w:val="24"/>
          <w:szCs w:val="24"/>
        </w:rPr>
        <w:t>环境管理体系、</w:t>
      </w:r>
      <w:r>
        <w:rPr>
          <w:rFonts w:hint="eastAsia"/>
          <w:color w:val="000000"/>
          <w:sz w:val="24"/>
          <w:szCs w:val="24"/>
          <w:lang w:val="en-US" w:eastAsia="zh-CN"/>
        </w:rPr>
        <w:t>ISO 45001:2018</w:t>
      </w:r>
      <w:r>
        <w:rPr>
          <w:rFonts w:hint="eastAsia"/>
          <w:color w:val="000000"/>
          <w:sz w:val="24"/>
          <w:szCs w:val="24"/>
        </w:rPr>
        <w:t>职业健康安全管理体系认证。建立了完整的质量管理、环境管理、职业健康安全管理流程，并且严格按照该流程执行。完善的质量管理体系，为进一步开拓市场提供了可靠的质量保证。</w:t>
      </w:r>
    </w:p>
    <w:p w14:paraId="79C2FEAE">
      <w:pPr>
        <w:keepNext w:val="0"/>
        <w:keepLines w:val="0"/>
        <w:pageBreakBefore w:val="0"/>
        <w:widowControl w:val="0"/>
        <w:kinsoku/>
        <w:wordWrap/>
        <w:overflowPunct/>
        <w:topLinePunct w:val="0"/>
        <w:bidi w:val="0"/>
        <w:spacing w:line="360" w:lineRule="auto"/>
        <w:ind w:firstLine="360" w:firstLineChars="150"/>
        <w:textAlignment w:val="auto"/>
        <w:rPr>
          <w:rFonts w:hint="eastAsia" w:eastAsia="宋体" w:cs="Times New Roman"/>
          <w:color w:val="000000"/>
          <w:sz w:val="24"/>
          <w:szCs w:val="24"/>
        </w:rPr>
      </w:pPr>
      <w:r>
        <w:rPr>
          <w:rFonts w:hint="eastAsia"/>
          <w:color w:val="000000"/>
          <w:sz w:val="24"/>
          <w:szCs w:val="24"/>
        </w:rPr>
        <w:t>在质量管理方面，严格按照公司制定的《</w:t>
      </w:r>
      <w:r>
        <w:rPr>
          <w:rFonts w:hint="eastAsia"/>
          <w:color w:val="000000"/>
          <w:sz w:val="24"/>
          <w:szCs w:val="24"/>
          <w:lang w:val="en-US" w:eastAsia="zh-CN"/>
        </w:rPr>
        <w:t>管理</w:t>
      </w:r>
      <w:r>
        <w:rPr>
          <w:rFonts w:hint="eastAsia"/>
          <w:color w:val="000000"/>
          <w:sz w:val="24"/>
          <w:szCs w:val="24"/>
        </w:rPr>
        <w:t>手册》、《程序文件》和《作业指导书》，并设置了相关的质量控制点，从而使管理工作做到责任到人，同时制定了各岗位质量管理工作职责奖罚条例考核细则。定期对各职能部门和员工进行考评奖罚劣，确保质量，建立和建全质量管理体系，使产品质量得到了稳定提高。在采购方面，公司制定了《采购控制程序》，首先按照</w:t>
      </w:r>
      <w:r>
        <w:rPr>
          <w:rFonts w:hint="eastAsia"/>
          <w:color w:val="000000"/>
          <w:sz w:val="24"/>
          <w:szCs w:val="24"/>
          <w:lang w:eastAsia="zh-CN"/>
        </w:rPr>
        <w:t>生产</w:t>
      </w:r>
      <w:r>
        <w:rPr>
          <w:rFonts w:hint="eastAsia"/>
          <w:color w:val="000000"/>
          <w:sz w:val="24"/>
          <w:szCs w:val="24"/>
        </w:rPr>
        <w:t>原材料的重要程度分为A、B、C类合格供应商，对于主要原材料</w:t>
      </w:r>
      <w:r>
        <w:rPr>
          <w:rFonts w:hint="eastAsia"/>
          <w:color w:val="000000"/>
          <w:sz w:val="24"/>
          <w:szCs w:val="24"/>
          <w:lang w:val="en-US" w:eastAsia="zh-CN"/>
        </w:rPr>
        <w:t>铸件</w:t>
      </w:r>
      <w:r>
        <w:rPr>
          <w:rFonts w:hint="eastAsia"/>
          <w:color w:val="000000"/>
          <w:sz w:val="24"/>
          <w:szCs w:val="24"/>
        </w:rPr>
        <w:t>的A类合格供应商，每年进行供应商评审，对于评审分数较低的给与开除处理。在检验方面，公司从原材料进厂到产品出厂按照工艺流程设置了毛坯检验、机加工检验、装备检验、试压检验、油漆包装检验、最终检验。对以上的各个检验点公司均制定了作业指导书和检验记录，例如毛坯检验，公司制定了《原材料检验</w:t>
      </w:r>
      <w:r>
        <w:rPr>
          <w:rFonts w:hint="eastAsia"/>
          <w:color w:val="000000"/>
          <w:sz w:val="24"/>
          <w:szCs w:val="24"/>
          <w:lang w:val="en-US" w:eastAsia="zh-CN"/>
        </w:rPr>
        <w:t>标准</w:t>
      </w:r>
      <w:r>
        <w:rPr>
          <w:rFonts w:hint="eastAsia"/>
          <w:color w:val="000000"/>
          <w:sz w:val="24"/>
          <w:szCs w:val="24"/>
        </w:rPr>
        <w:t>》，里面规</w:t>
      </w:r>
      <w:r>
        <w:rPr>
          <w:rFonts w:hint="eastAsia" w:eastAsia="宋体" w:cs="Times New Roman"/>
          <w:color w:val="000000"/>
          <w:sz w:val="24"/>
          <w:szCs w:val="24"/>
        </w:rPr>
        <w:t>定了各种原材料的检验项目和抽检数量和检验方法等。在不合格品方面，公司制定了《不合格品控制程序》，公司对于不合格品进行了严格的分区管理，只要发现不合格品立即对不合格进行标识，填写不合格品处理单，并转移至不合格品区域。对于有重复发生可能性的及时制定纠正预防措施，以防下次再发生同样的质量问题。</w:t>
      </w:r>
    </w:p>
    <w:p w14:paraId="0A314A69">
      <w:pPr>
        <w:keepNext w:val="0"/>
        <w:keepLines w:val="0"/>
        <w:pageBreakBefore w:val="0"/>
        <w:widowControl w:val="0"/>
        <w:kinsoku/>
        <w:wordWrap/>
        <w:overflowPunct/>
        <w:topLinePunct w:val="0"/>
        <w:bidi w:val="0"/>
        <w:spacing w:line="360" w:lineRule="auto"/>
        <w:ind w:firstLine="360" w:firstLineChars="150"/>
        <w:textAlignment w:val="auto"/>
        <w:rPr>
          <w:rFonts w:hint="eastAsia" w:eastAsia="宋体" w:cs="Times New Roman"/>
          <w:color w:val="000000"/>
          <w:sz w:val="24"/>
          <w:szCs w:val="24"/>
        </w:rPr>
      </w:pPr>
      <w:r>
        <w:rPr>
          <w:rFonts w:hint="eastAsia" w:eastAsia="宋体" w:cs="Times New Roman"/>
          <w:color w:val="000000"/>
          <w:sz w:val="24"/>
          <w:szCs w:val="24"/>
        </w:rPr>
        <w:t>在环境和职业健康方面，</w:t>
      </w:r>
      <w:r>
        <w:rPr>
          <w:rFonts w:hint="eastAsia" w:eastAsia="宋体" w:cs="Times New Roman"/>
          <w:color w:val="000000"/>
          <w:sz w:val="24"/>
          <w:szCs w:val="24"/>
          <w:lang w:eastAsia="zh-CN"/>
        </w:rPr>
        <w:t>特宏阀门集团有限公司</w:t>
      </w:r>
      <w:r>
        <w:rPr>
          <w:rFonts w:hint="eastAsia" w:eastAsia="宋体" w:cs="Times New Roman"/>
          <w:color w:val="000000"/>
          <w:sz w:val="24"/>
          <w:szCs w:val="24"/>
        </w:rPr>
        <w:t>根据企业发展的实际需要，自20</w:t>
      </w:r>
      <w:r>
        <w:rPr>
          <w:rFonts w:hint="eastAsia" w:eastAsia="宋体" w:cs="Times New Roman"/>
          <w:color w:val="000000"/>
          <w:sz w:val="24"/>
          <w:szCs w:val="24"/>
          <w:lang w:val="en-US" w:eastAsia="zh-CN"/>
        </w:rPr>
        <w:t>22</w:t>
      </w:r>
      <w:r>
        <w:rPr>
          <w:rFonts w:hint="eastAsia" w:eastAsia="宋体" w:cs="Times New Roman"/>
          <w:color w:val="000000"/>
          <w:sz w:val="24"/>
          <w:szCs w:val="24"/>
        </w:rPr>
        <w:t>年开始导入</w:t>
      </w:r>
      <w:r>
        <w:rPr>
          <w:rFonts w:hint="eastAsia" w:eastAsia="宋体" w:cs="Times New Roman"/>
          <w:color w:val="000000"/>
          <w:sz w:val="24"/>
          <w:szCs w:val="24"/>
          <w:lang w:eastAsia="zh-CN"/>
        </w:rPr>
        <w:t>卓越绩效</w:t>
      </w:r>
      <w:r>
        <w:rPr>
          <w:rFonts w:hint="eastAsia" w:eastAsia="宋体" w:cs="Times New Roman"/>
          <w:color w:val="000000"/>
          <w:sz w:val="24"/>
          <w:szCs w:val="24"/>
        </w:rPr>
        <w:t>管理体系，先后进行了标准宣贯、体系的总体策划、体系文件的编写等工作</w:t>
      </w:r>
      <w:r>
        <w:rPr>
          <w:rFonts w:hint="eastAsia" w:eastAsia="宋体" w:cs="Times New Roman"/>
          <w:color w:val="000000"/>
          <w:sz w:val="24"/>
          <w:szCs w:val="24"/>
          <w:lang w:eastAsia="zh-CN"/>
        </w:rPr>
        <w:t>。</w:t>
      </w:r>
      <w:r>
        <w:rPr>
          <w:rFonts w:hint="eastAsia" w:eastAsia="宋体" w:cs="Times New Roman"/>
          <w:color w:val="000000"/>
          <w:sz w:val="24"/>
          <w:szCs w:val="24"/>
          <w:lang w:val="en-US" w:eastAsia="zh-CN"/>
        </w:rPr>
        <w:t>公司</w:t>
      </w:r>
      <w:r>
        <w:rPr>
          <w:rFonts w:hint="eastAsia" w:eastAsia="宋体" w:cs="Times New Roman"/>
          <w:color w:val="000000"/>
          <w:sz w:val="24"/>
          <w:szCs w:val="24"/>
        </w:rPr>
        <w:t>颁发了《</w:t>
      </w:r>
      <w:r>
        <w:rPr>
          <w:rFonts w:hint="eastAsia" w:eastAsia="宋体" w:cs="Times New Roman"/>
          <w:color w:val="000000"/>
          <w:sz w:val="24"/>
          <w:szCs w:val="24"/>
          <w:lang w:val="en-US" w:eastAsia="zh-CN"/>
        </w:rPr>
        <w:t>质量、环境和职业健康安全</w:t>
      </w:r>
      <w:r>
        <w:rPr>
          <w:rFonts w:hint="eastAsia" w:eastAsia="宋体" w:cs="Times New Roman"/>
          <w:color w:val="000000"/>
          <w:sz w:val="24"/>
          <w:szCs w:val="24"/>
        </w:rPr>
        <w:t>管理手册》和《程序文件》以来，公司在</w:t>
      </w:r>
      <w:r>
        <w:rPr>
          <w:rFonts w:hint="eastAsia" w:eastAsia="宋体" w:cs="Times New Roman"/>
          <w:color w:val="000000"/>
          <w:sz w:val="24"/>
          <w:szCs w:val="24"/>
          <w:lang w:val="en-US" w:eastAsia="zh-CN"/>
        </w:rPr>
        <w:t>质量、</w:t>
      </w:r>
      <w:r>
        <w:rPr>
          <w:rFonts w:hint="eastAsia" w:eastAsia="宋体" w:cs="Times New Roman"/>
          <w:color w:val="000000"/>
          <w:sz w:val="24"/>
          <w:szCs w:val="24"/>
        </w:rPr>
        <w:t>环境和职业健康安全方面有很大的提升。在公司总经理的直接领导下，明确了各部门的管理职责，并配置了相关的资源，</w:t>
      </w:r>
      <w:r>
        <w:rPr>
          <w:rFonts w:hint="eastAsia" w:eastAsia="宋体" w:cs="Times New Roman"/>
          <w:color w:val="000000"/>
          <w:sz w:val="24"/>
          <w:szCs w:val="24"/>
          <w:lang w:eastAsia="zh-CN"/>
        </w:rPr>
        <w:t>卓越绩效</w:t>
      </w:r>
      <w:r>
        <w:rPr>
          <w:rFonts w:hint="eastAsia" w:eastAsia="宋体" w:cs="Times New Roman"/>
          <w:color w:val="000000"/>
          <w:sz w:val="24"/>
          <w:szCs w:val="24"/>
        </w:rPr>
        <w:t>管理体系得到顺利有效的实施。从20</w:t>
      </w:r>
      <w:r>
        <w:rPr>
          <w:rFonts w:hint="eastAsia" w:eastAsia="宋体" w:cs="Times New Roman"/>
          <w:color w:val="000000"/>
          <w:sz w:val="24"/>
          <w:szCs w:val="24"/>
          <w:lang w:val="en-US" w:eastAsia="zh-CN"/>
        </w:rPr>
        <w:t>22</w:t>
      </w:r>
      <w:r>
        <w:rPr>
          <w:rFonts w:hint="eastAsia" w:eastAsia="宋体" w:cs="Times New Roman"/>
          <w:color w:val="000000"/>
          <w:sz w:val="24"/>
          <w:szCs w:val="24"/>
        </w:rPr>
        <w:t>年公司的</w:t>
      </w:r>
      <w:r>
        <w:rPr>
          <w:rFonts w:hint="eastAsia" w:eastAsia="宋体" w:cs="Times New Roman"/>
          <w:color w:val="000000"/>
          <w:sz w:val="24"/>
          <w:szCs w:val="24"/>
          <w:lang w:eastAsia="zh-CN"/>
        </w:rPr>
        <w:t>卓越绩效</w:t>
      </w:r>
      <w:r>
        <w:rPr>
          <w:rFonts w:hint="eastAsia" w:eastAsia="宋体" w:cs="Times New Roman"/>
          <w:color w:val="000000"/>
          <w:sz w:val="24"/>
          <w:szCs w:val="24"/>
        </w:rPr>
        <w:t>管理体系开始运行，在公司方针的指引下，对公司的目标进行了分解，并制定了管理方案，为</w:t>
      </w:r>
      <w:r>
        <w:rPr>
          <w:rFonts w:hint="eastAsia" w:eastAsia="宋体" w:cs="Times New Roman"/>
          <w:color w:val="000000"/>
          <w:sz w:val="24"/>
          <w:szCs w:val="24"/>
          <w:lang w:eastAsia="zh-CN"/>
        </w:rPr>
        <w:t>公司</w:t>
      </w:r>
      <w:r>
        <w:rPr>
          <w:rFonts w:hint="eastAsia" w:eastAsia="宋体" w:cs="Times New Roman"/>
          <w:color w:val="000000"/>
          <w:sz w:val="24"/>
          <w:szCs w:val="24"/>
        </w:rPr>
        <w:t>方针和目标的总体实现提供了运行控制的条件。</w:t>
      </w:r>
    </w:p>
    <w:p w14:paraId="60DAE32B">
      <w:pPr>
        <w:pStyle w:val="3"/>
        <w:rPr>
          <w:rFonts w:hint="eastAsia" w:ascii="Calibri Light" w:hAnsi="Calibri Light" w:eastAsia="宋体" w:cs="Times New Roman"/>
          <w:b/>
          <w:bCs/>
          <w:color w:val="4F81BD" w:themeColor="accent1"/>
          <w:sz w:val="32"/>
          <w:szCs w:val="32"/>
          <w14:textFill>
            <w14:solidFill>
              <w14:schemeClr w14:val="accent1"/>
            </w14:solidFill>
          </w14:textFill>
        </w:rPr>
      </w:pPr>
      <w:bookmarkStart w:id="18" w:name="_Toc2945"/>
      <w:r>
        <w:rPr>
          <w:rFonts w:hint="eastAsia" w:ascii="Calibri Light" w:hAnsi="Calibri Light" w:eastAsia="宋体" w:cs="Times New Roman"/>
          <w:b/>
          <w:bCs/>
          <w:sz w:val="32"/>
          <w:szCs w:val="32"/>
        </w:rPr>
        <w:t>六、员工基本情况</w:t>
      </w:r>
      <w:bookmarkEnd w:id="18"/>
    </w:p>
    <w:p w14:paraId="3CADF428">
      <w:pPr>
        <w:keepNext w:val="0"/>
        <w:keepLines w:val="0"/>
        <w:pageBreakBefore w:val="0"/>
        <w:widowControl w:val="0"/>
        <w:tabs>
          <w:tab w:val="left" w:pos="6480"/>
        </w:tabs>
        <w:kinsoku/>
        <w:wordWrap/>
        <w:overflowPunct/>
        <w:topLinePunct w:val="0"/>
        <w:autoSpaceDE/>
        <w:autoSpaceDN/>
        <w:bidi w:val="0"/>
        <w:adjustRightInd/>
        <w:snapToGrid/>
        <w:spacing w:line="360" w:lineRule="auto"/>
        <w:ind w:firstLine="480" w:firstLineChars="200"/>
        <w:textAlignment w:val="auto"/>
        <w:rPr>
          <w:color w:val="000000"/>
          <w:sz w:val="24"/>
          <w:szCs w:val="24"/>
        </w:rPr>
      </w:pPr>
      <w:r>
        <w:rPr>
          <w:rFonts w:hint="eastAsia"/>
          <w:color w:val="002060"/>
          <w:sz w:val="24"/>
          <w:szCs w:val="24"/>
        </w:rPr>
        <w:t>公司员工总数</w:t>
      </w:r>
      <w:r>
        <w:rPr>
          <w:rFonts w:hint="eastAsia"/>
          <w:color w:val="002060"/>
          <w:sz w:val="24"/>
          <w:szCs w:val="24"/>
          <w:lang w:val="en-US" w:eastAsia="zh-CN"/>
        </w:rPr>
        <w:t>100</w:t>
      </w:r>
      <w:r>
        <w:rPr>
          <w:rFonts w:hint="eastAsia"/>
          <w:color w:val="002060"/>
          <w:sz w:val="24"/>
          <w:szCs w:val="24"/>
        </w:rPr>
        <w:t>人，</w:t>
      </w:r>
      <w:r>
        <w:rPr>
          <w:rFonts w:hint="eastAsia"/>
          <w:color w:val="000000"/>
          <w:sz w:val="24"/>
          <w:szCs w:val="24"/>
        </w:rPr>
        <w:t>公司以岗定薪、按劳取酬为原则，实行岗位工资和绩效奖励相结合的薪酬分配办法，建立了考核与工资、奖金、调薪、晋升及培训等机制，为骨干员工和优秀人才提供中长期的激励政策，充分调动了员工的积极性和创造性，不断提高员工的满意度和忠诚度。</w:t>
      </w:r>
    </w:p>
    <w:p w14:paraId="7803EA4F">
      <w:pPr>
        <w:pStyle w:val="3"/>
        <w:tabs>
          <w:tab w:val="left" w:pos="6300"/>
        </w:tabs>
      </w:pPr>
      <w:bookmarkStart w:id="19" w:name="_Toc6255"/>
      <w:r>
        <w:rPr>
          <w:rFonts w:hint="eastAsia" w:ascii="Calibri Light" w:hAnsi="Calibri Light" w:eastAsia="宋体" w:cs="Times New Roman"/>
          <w:b/>
          <w:bCs/>
          <w:sz w:val="32"/>
          <w:szCs w:val="32"/>
        </w:rPr>
        <w:t>七、主要产品和服务</w:t>
      </w:r>
      <w:bookmarkEnd w:id="19"/>
      <w:r>
        <w:tab/>
      </w:r>
    </w:p>
    <w:p w14:paraId="0ABEFD33">
      <w:pPr>
        <w:keepNext w:val="0"/>
        <w:keepLines w:val="0"/>
        <w:pageBreakBefore w:val="0"/>
        <w:widowControl w:val="0"/>
        <w:tabs>
          <w:tab w:val="left" w:pos="6480"/>
        </w:tabs>
        <w:kinsoku/>
        <w:wordWrap/>
        <w:overflowPunct/>
        <w:topLinePunct w:val="0"/>
        <w:autoSpaceDE/>
        <w:autoSpaceDN/>
        <w:bidi w:val="0"/>
        <w:adjustRightInd/>
        <w:snapToGrid/>
        <w:spacing w:line="360" w:lineRule="auto"/>
        <w:ind w:firstLine="480" w:firstLineChars="200"/>
        <w:textAlignment w:val="auto"/>
        <w:rPr>
          <w:rFonts w:hint="eastAsia" w:eastAsia="宋体" w:cs="Times New Roman"/>
          <w:color w:val="000000"/>
          <w:sz w:val="24"/>
          <w:szCs w:val="24"/>
          <w:lang w:eastAsia="zh-CN"/>
        </w:rPr>
      </w:pPr>
      <w:r>
        <w:rPr>
          <w:rFonts w:hint="eastAsia" w:eastAsia="宋体" w:cs="Times New Roman"/>
          <w:color w:val="000000"/>
          <w:sz w:val="24"/>
          <w:szCs w:val="24"/>
          <w:lang w:eastAsia="zh-CN"/>
        </w:rPr>
        <w:t>公</w:t>
      </w:r>
      <w:r>
        <w:rPr>
          <w:rFonts w:hint="eastAsia" w:eastAsia="宋体" w:cs="Times New Roman"/>
          <w:color w:val="000000"/>
          <w:sz w:val="24"/>
          <w:szCs w:val="24"/>
          <w:lang w:val="en-US" w:eastAsia="zh-CN"/>
        </w:rPr>
        <w:t>司主要产品有智能控制阀、调节阀、闸截止阀、执行器及其他阀门系列产品和附件，产品广泛应用于石油、化工、天然气管道、发电、建筑、医药、食品、冶金以及其他行业领域</w:t>
      </w:r>
      <w:r>
        <w:rPr>
          <w:rFonts w:hint="eastAsia" w:eastAsia="宋体" w:cs="Times New Roman"/>
          <w:color w:val="000000"/>
          <w:sz w:val="24"/>
          <w:szCs w:val="24"/>
          <w:lang w:eastAsia="zh-CN"/>
        </w:rPr>
        <w:t>。</w:t>
      </w:r>
    </w:p>
    <w:p w14:paraId="06F9B4D4">
      <w:pPr>
        <w:pStyle w:val="3"/>
        <w:tabs>
          <w:tab w:val="left" w:pos="6300"/>
        </w:tabs>
        <w:rPr>
          <w:rFonts w:hint="eastAsia" w:ascii="Calibri Light" w:hAnsi="Calibri Light" w:eastAsia="宋体" w:cs="Times New Roman"/>
          <w:b/>
          <w:bCs/>
          <w:sz w:val="32"/>
          <w:szCs w:val="32"/>
        </w:rPr>
      </w:pPr>
      <w:bookmarkStart w:id="20" w:name="_Toc21749"/>
      <w:r>
        <w:rPr>
          <w:rFonts w:hint="eastAsia" w:ascii="Calibri Light" w:hAnsi="Calibri Light" w:eastAsia="宋体" w:cs="Times New Roman"/>
          <w:b/>
          <w:bCs/>
          <w:sz w:val="32"/>
          <w:szCs w:val="32"/>
        </w:rPr>
        <w:t>八、主要技术和设备设施</w:t>
      </w:r>
      <w:bookmarkEnd w:id="20"/>
    </w:p>
    <w:p w14:paraId="654E86CA">
      <w:pPr>
        <w:keepNext w:val="0"/>
        <w:keepLines w:val="0"/>
        <w:pageBreakBefore w:val="0"/>
        <w:widowControl w:val="0"/>
        <w:tabs>
          <w:tab w:val="left" w:pos="648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sz w:val="24"/>
          <w:lang w:eastAsia="zh-CN"/>
        </w:rPr>
      </w:pPr>
      <w:r>
        <w:rPr>
          <w:rFonts w:hint="eastAsia" w:ascii="宋体" w:hAnsi="宋体"/>
          <w:sz w:val="24"/>
        </w:rPr>
        <w:t>公司</w:t>
      </w:r>
      <w:r>
        <w:rPr>
          <w:rFonts w:hint="eastAsia" w:ascii="宋体" w:hAnsi="宋体"/>
          <w:sz w:val="24"/>
          <w:lang w:val="en-US" w:eastAsia="zh-CN"/>
        </w:rPr>
        <w:t>占地面积6000多㎡</w:t>
      </w:r>
      <w:r>
        <w:rPr>
          <w:rFonts w:hint="eastAsia" w:ascii="宋体" w:hAnsi="宋体"/>
          <w:sz w:val="24"/>
        </w:rPr>
        <w:t>，座落</w:t>
      </w:r>
      <w:r>
        <w:rPr>
          <w:rFonts w:hint="eastAsia" w:ascii="宋体" w:hAnsi="宋体" w:eastAsia="宋体" w:cs="Times New Roman"/>
          <w:sz w:val="24"/>
          <w:lang w:eastAsia="zh-CN"/>
        </w:rPr>
        <w:t>于浙江省温州市龙湾区空港新区金海一道898号，</w:t>
      </w:r>
      <w:r>
        <w:rPr>
          <w:rFonts w:hint="eastAsia" w:ascii="宋体" w:hAnsi="宋体" w:eastAsia="宋体" w:cs="Times New Roman"/>
          <w:sz w:val="24"/>
          <w:lang w:val="en-US" w:eastAsia="zh-CN"/>
        </w:rPr>
        <w:t>是集产品设计、研发、精密铸造，智控阀门成套和提供智能集成系统解决方案于一体的国家高新技术企业</w:t>
      </w:r>
      <w:r>
        <w:rPr>
          <w:rFonts w:hint="eastAsia" w:ascii="宋体" w:hAnsi="宋体" w:eastAsia="宋体" w:cs="Times New Roman"/>
          <w:sz w:val="24"/>
          <w:lang w:eastAsia="zh-CN"/>
        </w:rPr>
        <w:t>。</w:t>
      </w:r>
      <w:r>
        <w:rPr>
          <w:rFonts w:hint="eastAsia" w:ascii="宋体" w:hAnsi="宋体" w:eastAsia="宋体" w:cs="Times New Roman"/>
          <w:sz w:val="24"/>
          <w:lang w:val="en-US" w:eastAsia="zh-CN"/>
        </w:rPr>
        <w:t>公司</w:t>
      </w:r>
      <w:r>
        <w:rPr>
          <w:rFonts w:hint="eastAsia" w:ascii="宋体" w:hAnsi="宋体" w:eastAsia="宋体" w:cs="Times New Roman"/>
          <w:sz w:val="24"/>
          <w:lang w:eastAsia="zh-CN"/>
        </w:rPr>
        <w:t>引进一大批国内外先进的加工设备，以满足不断增长的产能需求及公司产业转型升级，打造行业领先的智能制造标杆示范企业。目前加工及检测设备超过</w:t>
      </w:r>
      <w:r>
        <w:rPr>
          <w:rFonts w:hint="eastAsia" w:ascii="宋体" w:hAnsi="宋体" w:eastAsia="宋体" w:cs="Times New Roman"/>
          <w:sz w:val="24"/>
          <w:lang w:val="en-US" w:eastAsia="zh-CN"/>
        </w:rPr>
        <w:t>100</w:t>
      </w:r>
      <w:r>
        <w:rPr>
          <w:rFonts w:hint="eastAsia" w:ascii="宋体" w:hAnsi="宋体" w:eastAsia="宋体" w:cs="Times New Roman"/>
          <w:sz w:val="24"/>
          <w:lang w:eastAsia="zh-CN"/>
        </w:rPr>
        <w:t>台(套)。</w:t>
      </w:r>
    </w:p>
    <w:p w14:paraId="4E2C999A">
      <w:pPr>
        <w:adjustRightInd w:val="0"/>
        <w:snapToGrid w:val="0"/>
        <w:spacing w:before="156" w:beforeLines="50" w:after="156" w:afterLines="50" w:line="300" w:lineRule="auto"/>
        <w:ind w:firstLine="482" w:firstLineChars="200"/>
        <w:rPr>
          <w:rFonts w:ascii="Times New Roman" w:hAnsi="Times New Roman"/>
          <w:b/>
          <w:color w:val="auto"/>
          <w:sz w:val="24"/>
          <w:szCs w:val="24"/>
        </w:rPr>
      </w:pPr>
      <w:r>
        <w:rPr>
          <w:rFonts w:ascii="Times New Roman" w:hAnsi="Times New Roman"/>
          <w:b/>
          <w:color w:val="auto"/>
          <w:sz w:val="24"/>
          <w:szCs w:val="24"/>
        </w:rPr>
        <w:t>1</w:t>
      </w:r>
      <w:r>
        <w:rPr>
          <w:rFonts w:hint="eastAsia" w:ascii="Times New Roman" w:hAnsi="Times New Roman"/>
          <w:b/>
          <w:color w:val="auto"/>
          <w:sz w:val="24"/>
          <w:szCs w:val="24"/>
        </w:rPr>
        <w:t>）生产设备</w:t>
      </w:r>
    </w:p>
    <w:p w14:paraId="2492C615">
      <w:pPr>
        <w:spacing w:line="360" w:lineRule="auto"/>
        <w:ind w:firstLine="600" w:firstLineChars="250"/>
        <w:rPr>
          <w:color w:val="auto"/>
          <w:sz w:val="24"/>
          <w:szCs w:val="24"/>
        </w:rPr>
      </w:pPr>
      <w:r>
        <w:rPr>
          <w:rFonts w:hint="eastAsia"/>
          <w:color w:val="auto"/>
          <w:sz w:val="24"/>
          <w:szCs w:val="24"/>
        </w:rPr>
        <w:t>公司拥有行业领先的</w:t>
      </w:r>
      <w:r>
        <w:rPr>
          <w:rFonts w:hint="eastAsia"/>
          <w:color w:val="auto"/>
          <w:sz w:val="24"/>
          <w:szCs w:val="24"/>
          <w:lang w:eastAsia="zh-CN"/>
        </w:rPr>
        <w:t>加工</w:t>
      </w:r>
      <w:r>
        <w:rPr>
          <w:rFonts w:hint="eastAsia"/>
          <w:color w:val="auto"/>
          <w:sz w:val="24"/>
          <w:szCs w:val="24"/>
        </w:rPr>
        <w:t>设备，以及先进的</w:t>
      </w:r>
      <w:r>
        <w:rPr>
          <w:rFonts w:hint="eastAsia"/>
          <w:color w:val="auto"/>
          <w:sz w:val="24"/>
          <w:szCs w:val="24"/>
          <w:lang w:val="en-US" w:eastAsia="zh-CN"/>
        </w:rPr>
        <w:t>数控加工、焊接</w:t>
      </w:r>
      <w:r>
        <w:rPr>
          <w:rFonts w:hint="eastAsia"/>
          <w:color w:val="auto"/>
          <w:sz w:val="24"/>
          <w:szCs w:val="24"/>
        </w:rPr>
        <w:t>设备等。部分核心设备如下：</w:t>
      </w:r>
    </w:p>
    <w:tbl>
      <w:tblPr>
        <w:tblStyle w:val="14"/>
        <w:tblW w:w="9121"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758"/>
        <w:gridCol w:w="2396"/>
        <w:gridCol w:w="1767"/>
        <w:gridCol w:w="3320"/>
        <w:gridCol w:w="880"/>
      </w:tblGrid>
      <w:tr w14:paraId="7B07B68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70" w:hRule="atLeast"/>
          <w:jc w:val="center"/>
        </w:trPr>
        <w:tc>
          <w:tcPr>
            <w:tcW w:w="758" w:type="dxa"/>
            <w:tcBorders>
              <w:tl2br w:val="nil"/>
              <w:tr2bl w:val="nil"/>
            </w:tcBorders>
            <w:noWrap w:val="0"/>
            <w:vAlign w:val="center"/>
          </w:tcPr>
          <w:p w14:paraId="1629EF9C">
            <w:pPr>
              <w:keepNext w:val="0"/>
              <w:keepLines w:val="0"/>
              <w:widowControl/>
              <w:numPr>
                <w:ilvl w:val="0"/>
                <w:numId w:val="0"/>
              </w:numPr>
              <w:suppressLineNumbers w:val="0"/>
              <w:ind w:leftChars="0"/>
              <w:jc w:val="center"/>
              <w:textAlignment w:val="center"/>
              <w:rPr>
                <w:rFonts w:hint="default" w:ascii="Times New Roman" w:hAnsi="Times New Roman" w:eastAsia="宋体" w:cs="宋体"/>
                <w:b/>
                <w:bCs/>
                <w:i w:val="0"/>
                <w:iCs w:val="0"/>
                <w:color w:val="auto"/>
                <w:kern w:val="0"/>
                <w:sz w:val="21"/>
                <w:szCs w:val="21"/>
                <w:u w:val="none"/>
                <w:lang w:val="en-US" w:eastAsia="zh-CN" w:bidi="ar"/>
              </w:rPr>
            </w:pPr>
            <w:r>
              <w:rPr>
                <w:rFonts w:hint="eastAsia" w:ascii="Times New Roman" w:hAnsi="Times New Roman" w:eastAsia="宋体" w:cs="宋体"/>
                <w:b/>
                <w:bCs/>
                <w:i w:val="0"/>
                <w:iCs w:val="0"/>
                <w:color w:val="auto"/>
                <w:kern w:val="0"/>
                <w:sz w:val="21"/>
                <w:szCs w:val="21"/>
                <w:u w:val="none"/>
                <w:lang w:val="en-US" w:eastAsia="zh-CN" w:bidi="ar"/>
              </w:rPr>
              <w:t>序号</w:t>
            </w:r>
          </w:p>
        </w:tc>
        <w:tc>
          <w:tcPr>
            <w:tcW w:w="2396" w:type="dxa"/>
            <w:tcBorders>
              <w:tl2br w:val="nil"/>
              <w:tr2bl w:val="nil"/>
            </w:tcBorders>
            <w:noWrap w:val="0"/>
            <w:vAlign w:val="center"/>
          </w:tcPr>
          <w:p w14:paraId="3DD8A7F6">
            <w:pPr>
              <w:keepNext w:val="0"/>
              <w:keepLines w:val="0"/>
              <w:widowControl/>
              <w:suppressLineNumbers w:val="0"/>
              <w:jc w:val="center"/>
              <w:textAlignment w:val="center"/>
              <w:rPr>
                <w:rFonts w:hint="default" w:ascii="Times New Roman" w:hAnsi="Times New Roman" w:eastAsia="宋体" w:cs="微软雅黑"/>
                <w:b/>
                <w:bCs/>
                <w:i w:val="0"/>
                <w:iCs w:val="0"/>
                <w:color w:val="auto"/>
                <w:kern w:val="0"/>
                <w:sz w:val="21"/>
                <w:szCs w:val="21"/>
                <w:u w:val="none"/>
                <w:lang w:val="en-US" w:eastAsia="zh-CN" w:bidi="ar"/>
              </w:rPr>
            </w:pPr>
            <w:r>
              <w:rPr>
                <w:rFonts w:hint="eastAsia" w:ascii="Times New Roman" w:hAnsi="Times New Roman" w:eastAsia="宋体" w:cs="微软雅黑"/>
                <w:b/>
                <w:bCs/>
                <w:i w:val="0"/>
                <w:iCs w:val="0"/>
                <w:color w:val="auto"/>
                <w:kern w:val="0"/>
                <w:sz w:val="21"/>
                <w:szCs w:val="21"/>
                <w:u w:val="none"/>
                <w:lang w:val="en-US" w:eastAsia="zh-CN" w:bidi="ar"/>
              </w:rPr>
              <w:t>设备名称</w:t>
            </w:r>
          </w:p>
        </w:tc>
        <w:tc>
          <w:tcPr>
            <w:tcW w:w="1767" w:type="dxa"/>
            <w:tcBorders>
              <w:tl2br w:val="nil"/>
              <w:tr2bl w:val="nil"/>
            </w:tcBorders>
            <w:noWrap w:val="0"/>
            <w:vAlign w:val="center"/>
          </w:tcPr>
          <w:p w14:paraId="2E0A9BD6">
            <w:pPr>
              <w:keepNext w:val="0"/>
              <w:keepLines w:val="0"/>
              <w:widowControl/>
              <w:suppressLineNumbers w:val="0"/>
              <w:jc w:val="center"/>
              <w:textAlignment w:val="center"/>
              <w:rPr>
                <w:rFonts w:hint="default" w:ascii="Times New Roman" w:hAnsi="Times New Roman" w:eastAsia="宋体" w:cs="微软雅黑"/>
                <w:b/>
                <w:bCs/>
                <w:i w:val="0"/>
                <w:iCs w:val="0"/>
                <w:color w:val="auto"/>
                <w:kern w:val="0"/>
                <w:sz w:val="21"/>
                <w:szCs w:val="21"/>
                <w:u w:val="none"/>
                <w:lang w:val="en-US" w:eastAsia="zh-CN" w:bidi="ar"/>
              </w:rPr>
            </w:pPr>
            <w:r>
              <w:rPr>
                <w:rFonts w:hint="eastAsia" w:ascii="Times New Roman" w:hAnsi="Times New Roman" w:eastAsia="宋体" w:cs="微软雅黑"/>
                <w:b/>
                <w:bCs/>
                <w:i w:val="0"/>
                <w:iCs w:val="0"/>
                <w:color w:val="auto"/>
                <w:kern w:val="0"/>
                <w:sz w:val="21"/>
                <w:szCs w:val="21"/>
                <w:u w:val="none"/>
                <w:lang w:val="en-US" w:eastAsia="zh-CN" w:bidi="ar"/>
              </w:rPr>
              <w:t>型号</w:t>
            </w:r>
          </w:p>
        </w:tc>
        <w:tc>
          <w:tcPr>
            <w:tcW w:w="3320" w:type="dxa"/>
            <w:tcBorders>
              <w:tl2br w:val="nil"/>
              <w:tr2bl w:val="nil"/>
            </w:tcBorders>
            <w:noWrap w:val="0"/>
            <w:vAlign w:val="center"/>
          </w:tcPr>
          <w:p w14:paraId="43F2EEBC">
            <w:pPr>
              <w:keepNext w:val="0"/>
              <w:keepLines w:val="0"/>
              <w:widowControl/>
              <w:suppressLineNumbers w:val="0"/>
              <w:jc w:val="center"/>
              <w:textAlignment w:val="center"/>
              <w:rPr>
                <w:rFonts w:hint="default" w:ascii="Times New Roman" w:hAnsi="Times New Roman" w:eastAsia="宋体" w:cs="微软雅黑"/>
                <w:b/>
                <w:bCs/>
                <w:i w:val="0"/>
                <w:iCs w:val="0"/>
                <w:color w:val="auto"/>
                <w:kern w:val="0"/>
                <w:sz w:val="21"/>
                <w:szCs w:val="21"/>
                <w:u w:val="none"/>
                <w:lang w:val="en-US" w:eastAsia="zh-CN" w:bidi="ar"/>
              </w:rPr>
            </w:pPr>
            <w:r>
              <w:rPr>
                <w:rFonts w:hint="eastAsia" w:ascii="Times New Roman" w:hAnsi="Times New Roman" w:eastAsia="宋体" w:cs="微软雅黑"/>
                <w:b/>
                <w:bCs/>
                <w:i w:val="0"/>
                <w:iCs w:val="0"/>
                <w:color w:val="auto"/>
                <w:kern w:val="0"/>
                <w:sz w:val="21"/>
                <w:szCs w:val="21"/>
                <w:u w:val="none"/>
                <w:lang w:val="en-US" w:eastAsia="zh-CN" w:bidi="ar"/>
              </w:rPr>
              <w:t>生产厂家</w:t>
            </w:r>
          </w:p>
        </w:tc>
        <w:tc>
          <w:tcPr>
            <w:tcW w:w="880" w:type="dxa"/>
            <w:tcBorders>
              <w:tl2br w:val="nil"/>
              <w:tr2bl w:val="nil"/>
            </w:tcBorders>
            <w:noWrap w:val="0"/>
            <w:vAlign w:val="center"/>
          </w:tcPr>
          <w:p w14:paraId="0716232E">
            <w:pPr>
              <w:keepNext w:val="0"/>
              <w:keepLines w:val="0"/>
              <w:widowControl/>
              <w:suppressLineNumbers w:val="0"/>
              <w:jc w:val="center"/>
              <w:textAlignment w:val="center"/>
              <w:rPr>
                <w:rFonts w:hint="default" w:ascii="Times New Roman" w:hAnsi="Times New Roman" w:eastAsia="宋体" w:cs="微软雅黑"/>
                <w:b/>
                <w:bCs/>
                <w:i w:val="0"/>
                <w:iCs w:val="0"/>
                <w:color w:val="auto"/>
                <w:kern w:val="0"/>
                <w:sz w:val="21"/>
                <w:szCs w:val="21"/>
                <w:u w:val="none"/>
                <w:lang w:val="en-US" w:eastAsia="zh-CN" w:bidi="ar"/>
              </w:rPr>
            </w:pPr>
            <w:r>
              <w:rPr>
                <w:rFonts w:hint="eastAsia" w:ascii="Times New Roman" w:hAnsi="Times New Roman" w:eastAsia="宋体" w:cs="微软雅黑"/>
                <w:b/>
                <w:bCs/>
                <w:i w:val="0"/>
                <w:iCs w:val="0"/>
                <w:color w:val="auto"/>
                <w:kern w:val="0"/>
                <w:sz w:val="21"/>
                <w:szCs w:val="21"/>
                <w:u w:val="none"/>
                <w:lang w:val="en-US" w:eastAsia="zh-CN" w:bidi="ar"/>
              </w:rPr>
              <w:t>数量</w:t>
            </w:r>
          </w:p>
        </w:tc>
      </w:tr>
      <w:tr w14:paraId="2D4AFE6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70" w:hRule="atLeast"/>
          <w:jc w:val="center"/>
        </w:trPr>
        <w:tc>
          <w:tcPr>
            <w:tcW w:w="758" w:type="dxa"/>
            <w:tcBorders>
              <w:tl2br w:val="nil"/>
              <w:tr2bl w:val="nil"/>
            </w:tcBorders>
            <w:noWrap w:val="0"/>
            <w:vAlign w:val="center"/>
          </w:tcPr>
          <w:p w14:paraId="105B5F57">
            <w:pPr>
              <w:keepNext w:val="0"/>
              <w:keepLines w:val="0"/>
              <w:widowControl/>
              <w:numPr>
                <w:ilvl w:val="0"/>
                <w:numId w:val="2"/>
              </w:numPr>
              <w:suppressLineNumbers w:val="0"/>
              <w:ind w:left="360" w:leftChars="0" w:hanging="360" w:firstLineChars="0"/>
              <w:jc w:val="center"/>
              <w:textAlignment w:val="center"/>
              <w:rPr>
                <w:rFonts w:hint="eastAsia" w:ascii="Times New Roman" w:hAnsi="Times New Roman" w:eastAsia="宋体" w:cs="宋体"/>
                <w:i w:val="0"/>
                <w:iCs w:val="0"/>
                <w:color w:val="auto"/>
                <w:kern w:val="0"/>
                <w:sz w:val="21"/>
                <w:szCs w:val="21"/>
                <w:u w:val="none"/>
                <w:lang w:val="en-US" w:eastAsia="zh-CN" w:bidi="ar"/>
              </w:rPr>
            </w:pPr>
          </w:p>
        </w:tc>
        <w:tc>
          <w:tcPr>
            <w:tcW w:w="2396" w:type="dxa"/>
            <w:tcBorders>
              <w:tl2br w:val="nil"/>
              <w:tr2bl w:val="nil"/>
            </w:tcBorders>
            <w:noWrap w:val="0"/>
            <w:vAlign w:val="center"/>
          </w:tcPr>
          <w:p w14:paraId="5D3D96A7">
            <w:pPr>
              <w:keepNext w:val="0"/>
              <w:keepLines w:val="0"/>
              <w:widowControl/>
              <w:suppressLineNumbers w:val="0"/>
              <w:jc w:val="center"/>
              <w:textAlignment w:val="center"/>
              <w:rPr>
                <w:rFonts w:hint="eastAsia" w:ascii="Times New Roman" w:hAnsi="Times New Roman" w:eastAsia="宋体" w:cs="微软雅黑"/>
                <w:i w:val="0"/>
                <w:iCs w:val="0"/>
                <w:color w:val="auto"/>
                <w:kern w:val="0"/>
                <w:sz w:val="21"/>
                <w:szCs w:val="21"/>
                <w:u w:val="none"/>
                <w:lang w:val="en-US" w:eastAsia="zh-CN" w:bidi="ar"/>
              </w:rPr>
            </w:pPr>
            <w:r>
              <w:rPr>
                <w:rFonts w:hint="eastAsia" w:ascii="Times New Roman" w:hAnsi="Times New Roman" w:eastAsia="宋体" w:cs="微软雅黑"/>
                <w:i w:val="0"/>
                <w:iCs w:val="0"/>
                <w:color w:val="auto"/>
                <w:kern w:val="0"/>
                <w:sz w:val="21"/>
                <w:szCs w:val="21"/>
                <w:u w:val="none"/>
                <w:lang w:val="en-US" w:eastAsia="zh-CN" w:bidi="ar"/>
              </w:rPr>
              <w:t>高压气密性装置</w:t>
            </w:r>
          </w:p>
        </w:tc>
        <w:tc>
          <w:tcPr>
            <w:tcW w:w="1767" w:type="dxa"/>
            <w:tcBorders>
              <w:tl2br w:val="nil"/>
              <w:tr2bl w:val="nil"/>
            </w:tcBorders>
            <w:noWrap w:val="0"/>
            <w:vAlign w:val="center"/>
          </w:tcPr>
          <w:p w14:paraId="318E536C">
            <w:pPr>
              <w:keepNext w:val="0"/>
              <w:keepLines w:val="0"/>
              <w:widowControl/>
              <w:suppressLineNumbers w:val="0"/>
              <w:jc w:val="center"/>
              <w:textAlignment w:val="center"/>
              <w:rPr>
                <w:rFonts w:hint="default" w:ascii="Times New Roman" w:hAnsi="Times New Roman" w:eastAsia="宋体" w:cs="微软雅黑"/>
                <w:i w:val="0"/>
                <w:iCs w:val="0"/>
                <w:color w:val="auto"/>
                <w:kern w:val="0"/>
                <w:sz w:val="21"/>
                <w:szCs w:val="21"/>
                <w:u w:val="none"/>
                <w:lang w:val="en-US" w:eastAsia="zh-CN" w:bidi="ar"/>
              </w:rPr>
            </w:pPr>
            <w:r>
              <w:rPr>
                <w:rFonts w:hint="eastAsia" w:ascii="Times New Roman" w:hAnsi="Times New Roman" w:eastAsia="宋体" w:cs="微软雅黑"/>
                <w:i w:val="0"/>
                <w:iCs w:val="0"/>
                <w:color w:val="auto"/>
                <w:kern w:val="0"/>
                <w:sz w:val="21"/>
                <w:szCs w:val="21"/>
                <w:u w:val="none"/>
                <w:lang w:val="en-US" w:eastAsia="zh-CN" w:bidi="ar"/>
              </w:rPr>
              <w:t>QTZY-40</w:t>
            </w:r>
          </w:p>
        </w:tc>
        <w:tc>
          <w:tcPr>
            <w:tcW w:w="3320" w:type="dxa"/>
            <w:tcBorders>
              <w:tl2br w:val="nil"/>
              <w:tr2bl w:val="nil"/>
            </w:tcBorders>
            <w:noWrap w:val="0"/>
            <w:vAlign w:val="center"/>
          </w:tcPr>
          <w:p w14:paraId="71C4EC02">
            <w:pPr>
              <w:keepNext w:val="0"/>
              <w:keepLines w:val="0"/>
              <w:widowControl/>
              <w:suppressLineNumbers w:val="0"/>
              <w:jc w:val="center"/>
              <w:textAlignment w:val="center"/>
              <w:rPr>
                <w:rFonts w:hint="eastAsia" w:ascii="Times New Roman" w:hAnsi="Times New Roman" w:eastAsia="宋体" w:cs="宋体"/>
                <w:i w:val="0"/>
                <w:iCs w:val="0"/>
                <w:color w:val="auto"/>
                <w:kern w:val="0"/>
                <w:sz w:val="21"/>
                <w:szCs w:val="21"/>
                <w:u w:val="none"/>
                <w:lang w:val="en-US" w:eastAsia="zh-CN" w:bidi="ar"/>
              </w:rPr>
            </w:pPr>
            <w:r>
              <w:rPr>
                <w:rFonts w:hint="eastAsia" w:ascii="Times New Roman" w:hAnsi="Times New Roman" w:eastAsia="宋体" w:cs="微软雅黑"/>
                <w:i w:val="0"/>
                <w:iCs w:val="0"/>
                <w:color w:val="auto"/>
                <w:kern w:val="0"/>
                <w:sz w:val="21"/>
                <w:szCs w:val="21"/>
                <w:u w:val="none"/>
                <w:lang w:val="en-US" w:eastAsia="zh-CN" w:bidi="ar"/>
              </w:rPr>
              <w:t>上海世成仪器有限公司</w:t>
            </w:r>
          </w:p>
        </w:tc>
        <w:tc>
          <w:tcPr>
            <w:tcW w:w="880" w:type="dxa"/>
            <w:tcBorders>
              <w:tl2br w:val="nil"/>
              <w:tr2bl w:val="nil"/>
            </w:tcBorders>
            <w:noWrap w:val="0"/>
            <w:vAlign w:val="center"/>
          </w:tcPr>
          <w:p w14:paraId="6F917D6D">
            <w:pPr>
              <w:keepNext w:val="0"/>
              <w:keepLines w:val="0"/>
              <w:widowControl/>
              <w:suppressLineNumbers w:val="0"/>
              <w:jc w:val="center"/>
              <w:textAlignment w:val="center"/>
              <w:rPr>
                <w:rFonts w:hint="default" w:ascii="Times New Roman" w:hAnsi="Times New Roman" w:eastAsia="宋体" w:cs="宋体"/>
                <w:i w:val="0"/>
                <w:iCs w:val="0"/>
                <w:color w:val="auto"/>
                <w:kern w:val="0"/>
                <w:sz w:val="21"/>
                <w:szCs w:val="21"/>
                <w:u w:val="none"/>
                <w:lang w:val="en-US" w:eastAsia="zh-CN" w:bidi="ar"/>
              </w:rPr>
            </w:pPr>
            <w:r>
              <w:rPr>
                <w:rFonts w:hint="eastAsia" w:ascii="Times New Roman" w:hAnsi="Times New Roman" w:eastAsia="宋体" w:cs="微软雅黑"/>
                <w:i w:val="0"/>
                <w:iCs w:val="0"/>
                <w:color w:val="auto"/>
                <w:kern w:val="0"/>
                <w:sz w:val="21"/>
                <w:szCs w:val="21"/>
                <w:u w:val="none"/>
                <w:lang w:val="en-US" w:eastAsia="zh-CN" w:bidi="ar"/>
              </w:rPr>
              <w:t>1</w:t>
            </w:r>
          </w:p>
        </w:tc>
      </w:tr>
      <w:tr w14:paraId="3D0298A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70" w:hRule="atLeast"/>
          <w:jc w:val="center"/>
        </w:trPr>
        <w:tc>
          <w:tcPr>
            <w:tcW w:w="758" w:type="dxa"/>
            <w:tcBorders>
              <w:tl2br w:val="nil"/>
              <w:tr2bl w:val="nil"/>
            </w:tcBorders>
            <w:noWrap w:val="0"/>
            <w:vAlign w:val="center"/>
          </w:tcPr>
          <w:p w14:paraId="3CE86C87">
            <w:pPr>
              <w:keepNext w:val="0"/>
              <w:keepLines w:val="0"/>
              <w:widowControl/>
              <w:numPr>
                <w:ilvl w:val="0"/>
                <w:numId w:val="2"/>
              </w:numPr>
              <w:suppressLineNumbers w:val="0"/>
              <w:ind w:left="360" w:leftChars="0" w:hanging="360" w:firstLineChars="0"/>
              <w:jc w:val="center"/>
              <w:textAlignment w:val="center"/>
              <w:rPr>
                <w:rFonts w:hint="eastAsia" w:ascii="Times New Roman" w:hAnsi="Times New Roman" w:eastAsia="宋体" w:cs="宋体"/>
                <w:i w:val="0"/>
                <w:iCs w:val="0"/>
                <w:color w:val="auto"/>
                <w:kern w:val="0"/>
                <w:sz w:val="21"/>
                <w:szCs w:val="21"/>
                <w:u w:val="none"/>
                <w:lang w:val="en-US" w:eastAsia="zh-CN" w:bidi="ar"/>
              </w:rPr>
            </w:pPr>
          </w:p>
        </w:tc>
        <w:tc>
          <w:tcPr>
            <w:tcW w:w="2396" w:type="dxa"/>
            <w:tcBorders>
              <w:tl2br w:val="nil"/>
              <w:tr2bl w:val="nil"/>
            </w:tcBorders>
            <w:noWrap w:val="0"/>
            <w:vAlign w:val="center"/>
          </w:tcPr>
          <w:p w14:paraId="40EF44F5">
            <w:pPr>
              <w:keepNext w:val="0"/>
              <w:keepLines w:val="0"/>
              <w:widowControl/>
              <w:suppressLineNumbers w:val="0"/>
              <w:jc w:val="center"/>
              <w:textAlignment w:val="center"/>
              <w:rPr>
                <w:rFonts w:hint="eastAsia" w:ascii="Times New Roman" w:hAnsi="Times New Roman" w:eastAsia="宋体" w:cs="微软雅黑"/>
                <w:i w:val="0"/>
                <w:iCs w:val="0"/>
                <w:color w:val="auto"/>
                <w:kern w:val="0"/>
                <w:sz w:val="21"/>
                <w:szCs w:val="21"/>
                <w:u w:val="none"/>
                <w:lang w:val="en-US" w:eastAsia="zh-CN" w:bidi="ar"/>
              </w:rPr>
            </w:pPr>
            <w:r>
              <w:rPr>
                <w:rFonts w:hint="eastAsia" w:ascii="Times New Roman" w:hAnsi="Times New Roman" w:eastAsia="宋体" w:cs="微软雅黑"/>
                <w:i w:val="0"/>
                <w:iCs w:val="0"/>
                <w:color w:val="auto"/>
                <w:kern w:val="0"/>
                <w:sz w:val="21"/>
                <w:szCs w:val="21"/>
                <w:u w:val="none"/>
                <w:lang w:val="en-US" w:eastAsia="zh-CN" w:bidi="ar"/>
              </w:rPr>
              <w:t>高压气密性装置</w:t>
            </w:r>
          </w:p>
        </w:tc>
        <w:tc>
          <w:tcPr>
            <w:tcW w:w="1767" w:type="dxa"/>
            <w:tcBorders>
              <w:tl2br w:val="nil"/>
              <w:tr2bl w:val="nil"/>
            </w:tcBorders>
            <w:noWrap w:val="0"/>
            <w:vAlign w:val="center"/>
          </w:tcPr>
          <w:p w14:paraId="531DDCCB">
            <w:pPr>
              <w:keepNext w:val="0"/>
              <w:keepLines w:val="0"/>
              <w:widowControl/>
              <w:suppressLineNumbers w:val="0"/>
              <w:jc w:val="center"/>
              <w:textAlignment w:val="center"/>
              <w:rPr>
                <w:rFonts w:hint="default" w:ascii="Times New Roman" w:hAnsi="Times New Roman" w:eastAsia="宋体" w:cs="微软雅黑"/>
                <w:i w:val="0"/>
                <w:iCs w:val="0"/>
                <w:color w:val="auto"/>
                <w:kern w:val="0"/>
                <w:sz w:val="21"/>
                <w:szCs w:val="21"/>
                <w:u w:val="none"/>
                <w:lang w:val="en-US" w:eastAsia="zh-CN" w:bidi="ar"/>
              </w:rPr>
            </w:pPr>
            <w:r>
              <w:rPr>
                <w:rFonts w:hint="eastAsia" w:ascii="Times New Roman" w:hAnsi="Times New Roman" w:eastAsia="宋体" w:cs="微软雅黑"/>
                <w:i w:val="0"/>
                <w:iCs w:val="0"/>
                <w:color w:val="auto"/>
                <w:kern w:val="0"/>
                <w:sz w:val="21"/>
                <w:szCs w:val="21"/>
                <w:u w:val="none"/>
                <w:lang w:val="en-US" w:eastAsia="zh-CN" w:bidi="ar"/>
              </w:rPr>
              <w:t>QTZY-40</w:t>
            </w:r>
          </w:p>
        </w:tc>
        <w:tc>
          <w:tcPr>
            <w:tcW w:w="3320" w:type="dxa"/>
            <w:tcBorders>
              <w:tl2br w:val="nil"/>
              <w:tr2bl w:val="nil"/>
            </w:tcBorders>
            <w:noWrap w:val="0"/>
            <w:vAlign w:val="center"/>
          </w:tcPr>
          <w:p w14:paraId="2D16DEF1">
            <w:pPr>
              <w:keepNext w:val="0"/>
              <w:keepLines w:val="0"/>
              <w:widowControl/>
              <w:suppressLineNumbers w:val="0"/>
              <w:jc w:val="center"/>
              <w:textAlignment w:val="center"/>
              <w:rPr>
                <w:rFonts w:hint="eastAsia" w:ascii="Times New Roman" w:hAnsi="Times New Roman" w:eastAsia="宋体" w:cs="宋体"/>
                <w:i w:val="0"/>
                <w:iCs w:val="0"/>
                <w:color w:val="auto"/>
                <w:kern w:val="0"/>
                <w:sz w:val="21"/>
                <w:szCs w:val="21"/>
                <w:u w:val="none"/>
                <w:lang w:val="en-US" w:eastAsia="zh-CN" w:bidi="ar"/>
              </w:rPr>
            </w:pPr>
            <w:r>
              <w:rPr>
                <w:rFonts w:hint="eastAsia" w:ascii="Times New Roman" w:hAnsi="Times New Roman" w:eastAsia="宋体" w:cs="微软雅黑"/>
                <w:i w:val="0"/>
                <w:iCs w:val="0"/>
                <w:color w:val="auto"/>
                <w:kern w:val="0"/>
                <w:sz w:val="21"/>
                <w:szCs w:val="21"/>
                <w:u w:val="none"/>
                <w:lang w:val="en-US" w:eastAsia="zh-CN" w:bidi="ar"/>
              </w:rPr>
              <w:t>济南乐君机械有限公司</w:t>
            </w:r>
          </w:p>
        </w:tc>
        <w:tc>
          <w:tcPr>
            <w:tcW w:w="880" w:type="dxa"/>
            <w:tcBorders>
              <w:tl2br w:val="nil"/>
              <w:tr2bl w:val="nil"/>
            </w:tcBorders>
            <w:noWrap w:val="0"/>
            <w:vAlign w:val="center"/>
          </w:tcPr>
          <w:p w14:paraId="3F96EAB4">
            <w:pPr>
              <w:keepNext w:val="0"/>
              <w:keepLines w:val="0"/>
              <w:widowControl/>
              <w:suppressLineNumbers w:val="0"/>
              <w:jc w:val="center"/>
              <w:textAlignment w:val="center"/>
              <w:rPr>
                <w:rFonts w:hint="default" w:ascii="Times New Roman" w:hAnsi="Times New Roman" w:eastAsia="宋体" w:cs="宋体"/>
                <w:i w:val="0"/>
                <w:iCs w:val="0"/>
                <w:color w:val="auto"/>
                <w:kern w:val="0"/>
                <w:sz w:val="21"/>
                <w:szCs w:val="21"/>
                <w:u w:val="none"/>
                <w:lang w:val="en-US" w:eastAsia="zh-CN" w:bidi="ar"/>
              </w:rPr>
            </w:pPr>
            <w:r>
              <w:rPr>
                <w:rFonts w:hint="eastAsia" w:ascii="Times New Roman" w:hAnsi="Times New Roman" w:eastAsia="宋体" w:cs="微软雅黑"/>
                <w:i w:val="0"/>
                <w:iCs w:val="0"/>
                <w:color w:val="auto"/>
                <w:kern w:val="0"/>
                <w:sz w:val="21"/>
                <w:szCs w:val="21"/>
                <w:u w:val="none"/>
                <w:lang w:val="en-US" w:eastAsia="zh-CN" w:bidi="ar"/>
              </w:rPr>
              <w:t>1</w:t>
            </w:r>
          </w:p>
        </w:tc>
      </w:tr>
      <w:tr w14:paraId="655F06D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70" w:hRule="atLeast"/>
          <w:jc w:val="center"/>
        </w:trPr>
        <w:tc>
          <w:tcPr>
            <w:tcW w:w="758" w:type="dxa"/>
            <w:tcBorders>
              <w:tl2br w:val="nil"/>
              <w:tr2bl w:val="nil"/>
            </w:tcBorders>
            <w:noWrap w:val="0"/>
            <w:vAlign w:val="center"/>
          </w:tcPr>
          <w:p w14:paraId="4038EAA9">
            <w:pPr>
              <w:keepNext w:val="0"/>
              <w:keepLines w:val="0"/>
              <w:widowControl/>
              <w:numPr>
                <w:ilvl w:val="0"/>
                <w:numId w:val="2"/>
              </w:numPr>
              <w:suppressLineNumbers w:val="0"/>
              <w:ind w:left="360" w:leftChars="0" w:hanging="360" w:firstLineChars="0"/>
              <w:jc w:val="center"/>
              <w:textAlignment w:val="center"/>
              <w:rPr>
                <w:rFonts w:hint="eastAsia" w:ascii="Times New Roman" w:hAnsi="Times New Roman" w:eastAsia="宋体" w:cs="宋体"/>
                <w:i w:val="0"/>
                <w:iCs w:val="0"/>
                <w:color w:val="auto"/>
                <w:kern w:val="0"/>
                <w:sz w:val="21"/>
                <w:szCs w:val="21"/>
                <w:u w:val="none"/>
                <w:lang w:val="en-US" w:eastAsia="zh-CN" w:bidi="ar"/>
              </w:rPr>
            </w:pPr>
          </w:p>
        </w:tc>
        <w:tc>
          <w:tcPr>
            <w:tcW w:w="2396" w:type="dxa"/>
            <w:tcBorders>
              <w:tl2br w:val="nil"/>
              <w:tr2bl w:val="nil"/>
            </w:tcBorders>
            <w:noWrap w:val="0"/>
            <w:vAlign w:val="center"/>
          </w:tcPr>
          <w:p w14:paraId="5101F4AF">
            <w:pPr>
              <w:keepNext w:val="0"/>
              <w:keepLines w:val="0"/>
              <w:widowControl/>
              <w:suppressLineNumbers w:val="0"/>
              <w:jc w:val="center"/>
              <w:textAlignment w:val="bottom"/>
              <w:rPr>
                <w:rFonts w:hint="eastAsia" w:ascii="Times New Roman" w:hAnsi="Times New Roman" w:eastAsia="宋体" w:cs="微软雅黑"/>
                <w:i w:val="0"/>
                <w:iCs w:val="0"/>
                <w:color w:val="auto"/>
                <w:kern w:val="0"/>
                <w:sz w:val="21"/>
                <w:szCs w:val="21"/>
                <w:u w:val="none"/>
                <w:lang w:val="en-US" w:eastAsia="zh-CN" w:bidi="ar"/>
              </w:rPr>
            </w:pPr>
            <w:r>
              <w:rPr>
                <w:rFonts w:hint="eastAsia" w:ascii="Times New Roman" w:hAnsi="Times New Roman" w:eastAsia="宋体" w:cs="微软雅黑"/>
                <w:i w:val="0"/>
                <w:iCs w:val="0"/>
                <w:color w:val="000000"/>
                <w:kern w:val="0"/>
                <w:sz w:val="21"/>
                <w:szCs w:val="21"/>
                <w:u w:val="none"/>
                <w:lang w:val="en-US" w:eastAsia="zh-CN" w:bidi="ar"/>
              </w:rPr>
              <w:t>CNC加工中心</w:t>
            </w:r>
          </w:p>
        </w:tc>
        <w:tc>
          <w:tcPr>
            <w:tcW w:w="1767" w:type="dxa"/>
            <w:tcBorders>
              <w:tl2br w:val="nil"/>
              <w:tr2bl w:val="nil"/>
            </w:tcBorders>
            <w:noWrap w:val="0"/>
            <w:vAlign w:val="center"/>
          </w:tcPr>
          <w:p w14:paraId="0A26F17F">
            <w:pPr>
              <w:keepNext w:val="0"/>
              <w:keepLines w:val="0"/>
              <w:widowControl/>
              <w:suppressLineNumbers w:val="0"/>
              <w:jc w:val="center"/>
              <w:textAlignment w:val="bottom"/>
              <w:rPr>
                <w:rFonts w:hint="eastAsia" w:ascii="Times New Roman" w:hAnsi="Times New Roman" w:eastAsia="宋体" w:cs="微软雅黑"/>
                <w:i w:val="0"/>
                <w:iCs w:val="0"/>
                <w:color w:val="auto"/>
                <w:kern w:val="0"/>
                <w:sz w:val="21"/>
                <w:szCs w:val="21"/>
                <w:u w:val="none"/>
                <w:lang w:val="en-US" w:eastAsia="zh-CN" w:bidi="ar"/>
              </w:rPr>
            </w:pPr>
            <w:r>
              <w:rPr>
                <w:rFonts w:hint="eastAsia" w:ascii="Times New Roman" w:hAnsi="Times New Roman" w:eastAsia="宋体" w:cs="微软雅黑"/>
                <w:i w:val="0"/>
                <w:iCs w:val="0"/>
                <w:color w:val="000000"/>
                <w:kern w:val="0"/>
                <w:sz w:val="21"/>
                <w:szCs w:val="21"/>
                <w:u w:val="none"/>
                <w:lang w:val="en-US" w:eastAsia="zh-CN" w:bidi="ar"/>
              </w:rPr>
              <w:t>MVL10553</w:t>
            </w:r>
          </w:p>
        </w:tc>
        <w:tc>
          <w:tcPr>
            <w:tcW w:w="3320" w:type="dxa"/>
            <w:tcBorders>
              <w:tl2br w:val="nil"/>
              <w:tr2bl w:val="nil"/>
            </w:tcBorders>
            <w:noWrap w:val="0"/>
            <w:vAlign w:val="center"/>
          </w:tcPr>
          <w:p w14:paraId="441913CB">
            <w:pPr>
              <w:keepNext w:val="0"/>
              <w:keepLines w:val="0"/>
              <w:widowControl/>
              <w:suppressLineNumbers w:val="0"/>
              <w:jc w:val="center"/>
              <w:textAlignment w:val="center"/>
              <w:rPr>
                <w:rFonts w:hint="eastAsia" w:ascii="Times New Roman" w:hAnsi="Times New Roman" w:eastAsia="宋体" w:cs="微软雅黑"/>
                <w:i w:val="0"/>
                <w:iCs w:val="0"/>
                <w:color w:val="auto"/>
                <w:kern w:val="0"/>
                <w:sz w:val="21"/>
                <w:szCs w:val="21"/>
                <w:u w:val="none"/>
                <w:lang w:val="en-US" w:eastAsia="zh-CN" w:bidi="ar"/>
              </w:rPr>
            </w:pPr>
            <w:r>
              <w:rPr>
                <w:rFonts w:hint="eastAsia" w:ascii="Times New Roman" w:hAnsi="Times New Roman" w:eastAsia="宋体" w:cs="微软雅黑"/>
                <w:i w:val="0"/>
                <w:iCs w:val="0"/>
                <w:color w:val="000000"/>
                <w:kern w:val="0"/>
                <w:sz w:val="21"/>
                <w:szCs w:val="21"/>
                <w:u w:val="none"/>
                <w:lang w:val="en-US" w:eastAsia="zh-CN" w:bidi="ar"/>
              </w:rPr>
              <w:t>沈阳机床</w:t>
            </w:r>
          </w:p>
        </w:tc>
        <w:tc>
          <w:tcPr>
            <w:tcW w:w="880" w:type="dxa"/>
            <w:tcBorders>
              <w:tl2br w:val="nil"/>
              <w:tr2bl w:val="nil"/>
            </w:tcBorders>
            <w:noWrap w:val="0"/>
            <w:vAlign w:val="center"/>
          </w:tcPr>
          <w:p w14:paraId="7918F1F1">
            <w:pPr>
              <w:keepNext w:val="0"/>
              <w:keepLines w:val="0"/>
              <w:widowControl/>
              <w:suppressLineNumbers w:val="0"/>
              <w:jc w:val="center"/>
              <w:textAlignment w:val="center"/>
              <w:rPr>
                <w:rFonts w:hint="default" w:ascii="Times New Roman" w:hAnsi="Times New Roman" w:eastAsia="宋体" w:cs="微软雅黑"/>
                <w:i w:val="0"/>
                <w:iCs w:val="0"/>
                <w:color w:val="auto"/>
                <w:kern w:val="0"/>
                <w:sz w:val="21"/>
                <w:szCs w:val="21"/>
                <w:u w:val="none"/>
                <w:lang w:val="en-US" w:eastAsia="zh-CN" w:bidi="ar"/>
              </w:rPr>
            </w:pPr>
            <w:r>
              <w:rPr>
                <w:rFonts w:hint="eastAsia" w:ascii="Times New Roman" w:hAnsi="Times New Roman" w:cs="微软雅黑"/>
                <w:i w:val="0"/>
                <w:iCs w:val="0"/>
                <w:color w:val="auto"/>
                <w:kern w:val="0"/>
                <w:sz w:val="21"/>
                <w:szCs w:val="21"/>
                <w:u w:val="none"/>
                <w:lang w:val="en-US" w:eastAsia="zh-CN" w:bidi="ar"/>
              </w:rPr>
              <w:t>4</w:t>
            </w:r>
          </w:p>
        </w:tc>
      </w:tr>
      <w:tr w14:paraId="42312A0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70" w:hRule="atLeast"/>
          <w:jc w:val="center"/>
        </w:trPr>
        <w:tc>
          <w:tcPr>
            <w:tcW w:w="758" w:type="dxa"/>
            <w:tcBorders>
              <w:tl2br w:val="nil"/>
              <w:tr2bl w:val="nil"/>
            </w:tcBorders>
            <w:noWrap w:val="0"/>
            <w:vAlign w:val="center"/>
          </w:tcPr>
          <w:p w14:paraId="0C06875D">
            <w:pPr>
              <w:keepNext w:val="0"/>
              <w:keepLines w:val="0"/>
              <w:widowControl/>
              <w:numPr>
                <w:ilvl w:val="0"/>
                <w:numId w:val="2"/>
              </w:numPr>
              <w:suppressLineNumbers w:val="0"/>
              <w:ind w:left="360" w:leftChars="0" w:hanging="360" w:firstLineChars="0"/>
              <w:jc w:val="center"/>
              <w:textAlignment w:val="center"/>
              <w:rPr>
                <w:rFonts w:hint="eastAsia" w:ascii="Times New Roman" w:hAnsi="Times New Roman" w:eastAsia="宋体" w:cs="宋体"/>
                <w:i w:val="0"/>
                <w:iCs w:val="0"/>
                <w:color w:val="auto"/>
                <w:kern w:val="0"/>
                <w:sz w:val="21"/>
                <w:szCs w:val="21"/>
                <w:u w:val="none"/>
                <w:lang w:val="en-US" w:eastAsia="zh-CN" w:bidi="ar"/>
              </w:rPr>
            </w:pPr>
          </w:p>
        </w:tc>
        <w:tc>
          <w:tcPr>
            <w:tcW w:w="2396" w:type="dxa"/>
            <w:tcBorders>
              <w:tl2br w:val="nil"/>
              <w:tr2bl w:val="nil"/>
            </w:tcBorders>
            <w:noWrap w:val="0"/>
            <w:vAlign w:val="center"/>
          </w:tcPr>
          <w:p w14:paraId="223C0479">
            <w:pPr>
              <w:keepNext w:val="0"/>
              <w:keepLines w:val="0"/>
              <w:widowControl/>
              <w:suppressLineNumbers w:val="0"/>
              <w:jc w:val="center"/>
              <w:textAlignment w:val="bottom"/>
              <w:rPr>
                <w:rFonts w:hint="eastAsia" w:ascii="Times New Roman" w:hAnsi="Times New Roman" w:eastAsia="宋体" w:cs="微软雅黑"/>
                <w:i w:val="0"/>
                <w:iCs w:val="0"/>
                <w:color w:val="auto"/>
                <w:kern w:val="0"/>
                <w:sz w:val="21"/>
                <w:szCs w:val="21"/>
                <w:u w:val="none"/>
                <w:lang w:val="en-US" w:eastAsia="zh-CN" w:bidi="ar"/>
              </w:rPr>
            </w:pPr>
            <w:r>
              <w:rPr>
                <w:rFonts w:hint="eastAsia" w:cs="微软雅黑"/>
                <w:i w:val="0"/>
                <w:iCs w:val="0"/>
                <w:color w:val="000000"/>
                <w:kern w:val="0"/>
                <w:sz w:val="21"/>
                <w:szCs w:val="21"/>
                <w:u w:val="none"/>
                <w:lang w:val="en-US" w:eastAsia="zh-CN" w:bidi="ar"/>
              </w:rPr>
              <w:t>卧式</w:t>
            </w:r>
            <w:r>
              <w:rPr>
                <w:rFonts w:hint="eastAsia" w:ascii="Times New Roman" w:hAnsi="Times New Roman" w:eastAsia="宋体" w:cs="微软雅黑"/>
                <w:i w:val="0"/>
                <w:iCs w:val="0"/>
                <w:color w:val="000000"/>
                <w:kern w:val="0"/>
                <w:sz w:val="21"/>
                <w:szCs w:val="21"/>
                <w:u w:val="none"/>
                <w:lang w:val="en-US" w:eastAsia="zh-CN" w:bidi="ar"/>
              </w:rPr>
              <w:t>加工中心</w:t>
            </w:r>
          </w:p>
        </w:tc>
        <w:tc>
          <w:tcPr>
            <w:tcW w:w="1767" w:type="dxa"/>
            <w:tcBorders>
              <w:tl2br w:val="nil"/>
              <w:tr2bl w:val="nil"/>
            </w:tcBorders>
            <w:noWrap w:val="0"/>
            <w:vAlign w:val="center"/>
          </w:tcPr>
          <w:p w14:paraId="5098251A">
            <w:pPr>
              <w:keepNext w:val="0"/>
              <w:keepLines w:val="0"/>
              <w:widowControl/>
              <w:suppressLineNumbers w:val="0"/>
              <w:jc w:val="center"/>
              <w:textAlignment w:val="bottom"/>
              <w:rPr>
                <w:rFonts w:hint="eastAsia" w:ascii="Times New Roman" w:hAnsi="Times New Roman" w:eastAsia="宋体" w:cs="微软雅黑"/>
                <w:i w:val="0"/>
                <w:iCs w:val="0"/>
                <w:color w:val="auto"/>
                <w:kern w:val="0"/>
                <w:sz w:val="21"/>
                <w:szCs w:val="21"/>
                <w:u w:val="none"/>
                <w:lang w:val="en-US" w:eastAsia="zh-CN" w:bidi="ar"/>
              </w:rPr>
            </w:pPr>
            <w:r>
              <w:rPr>
                <w:rFonts w:hint="eastAsia" w:cs="微软雅黑"/>
                <w:i w:val="0"/>
                <w:iCs w:val="0"/>
                <w:color w:val="000000"/>
                <w:kern w:val="0"/>
                <w:sz w:val="21"/>
                <w:szCs w:val="21"/>
                <w:u w:val="none"/>
                <w:lang w:val="en-US" w:eastAsia="zh-CN" w:bidi="ar"/>
              </w:rPr>
              <w:t>QTW630</w:t>
            </w:r>
          </w:p>
        </w:tc>
        <w:tc>
          <w:tcPr>
            <w:tcW w:w="3320" w:type="dxa"/>
            <w:tcBorders>
              <w:tl2br w:val="nil"/>
              <w:tr2bl w:val="nil"/>
            </w:tcBorders>
            <w:noWrap w:val="0"/>
            <w:vAlign w:val="center"/>
          </w:tcPr>
          <w:p w14:paraId="11F2B7DA">
            <w:pPr>
              <w:keepNext w:val="0"/>
              <w:keepLines w:val="0"/>
              <w:widowControl/>
              <w:suppressLineNumbers w:val="0"/>
              <w:jc w:val="center"/>
              <w:textAlignment w:val="center"/>
              <w:rPr>
                <w:rFonts w:hint="eastAsia" w:ascii="Times New Roman" w:hAnsi="Times New Roman" w:eastAsia="宋体" w:cs="微软雅黑"/>
                <w:i w:val="0"/>
                <w:iCs w:val="0"/>
                <w:color w:val="auto"/>
                <w:kern w:val="0"/>
                <w:sz w:val="21"/>
                <w:szCs w:val="21"/>
                <w:u w:val="none"/>
                <w:lang w:val="en-US" w:eastAsia="zh-CN" w:bidi="ar"/>
              </w:rPr>
            </w:pPr>
            <w:r>
              <w:rPr>
                <w:rFonts w:hint="eastAsia" w:cs="微软雅黑"/>
                <w:i w:val="0"/>
                <w:iCs w:val="0"/>
                <w:color w:val="000000"/>
                <w:kern w:val="0"/>
                <w:sz w:val="21"/>
                <w:szCs w:val="21"/>
                <w:u w:val="none"/>
                <w:lang w:val="en-US" w:eastAsia="zh-CN" w:bidi="ar"/>
              </w:rPr>
              <w:t>枣庄市强泰智能装备有限公司</w:t>
            </w:r>
          </w:p>
        </w:tc>
        <w:tc>
          <w:tcPr>
            <w:tcW w:w="880" w:type="dxa"/>
            <w:tcBorders>
              <w:tl2br w:val="nil"/>
              <w:tr2bl w:val="nil"/>
            </w:tcBorders>
            <w:noWrap w:val="0"/>
            <w:vAlign w:val="center"/>
          </w:tcPr>
          <w:p w14:paraId="35F800DD">
            <w:pPr>
              <w:keepNext w:val="0"/>
              <w:keepLines w:val="0"/>
              <w:widowControl/>
              <w:suppressLineNumbers w:val="0"/>
              <w:jc w:val="center"/>
              <w:textAlignment w:val="center"/>
              <w:rPr>
                <w:rFonts w:hint="default" w:ascii="Times New Roman" w:hAnsi="Times New Roman" w:eastAsia="宋体" w:cs="微软雅黑"/>
                <w:i w:val="0"/>
                <w:iCs w:val="0"/>
                <w:color w:val="auto"/>
                <w:kern w:val="0"/>
                <w:sz w:val="21"/>
                <w:szCs w:val="21"/>
                <w:u w:val="none"/>
                <w:lang w:val="en-US" w:eastAsia="zh-CN" w:bidi="ar"/>
              </w:rPr>
            </w:pPr>
            <w:r>
              <w:rPr>
                <w:rFonts w:hint="eastAsia" w:ascii="Times New Roman" w:hAnsi="Times New Roman" w:cs="微软雅黑"/>
                <w:i w:val="0"/>
                <w:iCs w:val="0"/>
                <w:color w:val="auto"/>
                <w:kern w:val="0"/>
                <w:sz w:val="21"/>
                <w:szCs w:val="21"/>
                <w:u w:val="none"/>
                <w:lang w:val="en-US" w:eastAsia="zh-CN" w:bidi="ar"/>
              </w:rPr>
              <w:t>1</w:t>
            </w:r>
          </w:p>
        </w:tc>
      </w:tr>
      <w:tr w14:paraId="2700623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70" w:hRule="atLeast"/>
          <w:jc w:val="center"/>
        </w:trPr>
        <w:tc>
          <w:tcPr>
            <w:tcW w:w="758" w:type="dxa"/>
            <w:tcBorders>
              <w:tl2br w:val="nil"/>
              <w:tr2bl w:val="nil"/>
            </w:tcBorders>
            <w:noWrap w:val="0"/>
            <w:vAlign w:val="center"/>
          </w:tcPr>
          <w:p w14:paraId="4E6FA979">
            <w:pPr>
              <w:keepNext w:val="0"/>
              <w:keepLines w:val="0"/>
              <w:widowControl/>
              <w:numPr>
                <w:ilvl w:val="0"/>
                <w:numId w:val="2"/>
              </w:numPr>
              <w:suppressLineNumbers w:val="0"/>
              <w:ind w:left="360" w:leftChars="0" w:hanging="360" w:firstLineChars="0"/>
              <w:jc w:val="center"/>
              <w:textAlignment w:val="center"/>
              <w:rPr>
                <w:rFonts w:hint="eastAsia" w:ascii="Times New Roman" w:hAnsi="Times New Roman" w:eastAsia="宋体" w:cs="宋体"/>
                <w:i w:val="0"/>
                <w:iCs w:val="0"/>
                <w:color w:val="auto"/>
                <w:kern w:val="0"/>
                <w:sz w:val="21"/>
                <w:szCs w:val="21"/>
                <w:u w:val="none"/>
                <w:lang w:val="en-US" w:eastAsia="zh-CN" w:bidi="ar"/>
              </w:rPr>
            </w:pPr>
          </w:p>
        </w:tc>
        <w:tc>
          <w:tcPr>
            <w:tcW w:w="2396" w:type="dxa"/>
            <w:tcBorders>
              <w:tl2br w:val="nil"/>
              <w:tr2bl w:val="nil"/>
            </w:tcBorders>
            <w:shd w:val="clear" w:color="auto" w:fill="auto"/>
            <w:noWrap w:val="0"/>
            <w:vAlign w:val="center"/>
          </w:tcPr>
          <w:p w14:paraId="43546C0B">
            <w:pPr>
              <w:keepNext w:val="0"/>
              <w:keepLines w:val="0"/>
              <w:widowControl/>
              <w:suppressLineNumbers w:val="0"/>
              <w:jc w:val="center"/>
              <w:textAlignment w:val="center"/>
              <w:rPr>
                <w:rFonts w:hint="eastAsia" w:ascii="Times New Roman" w:hAnsi="Times New Roman" w:eastAsia="宋体" w:cs="宋体"/>
                <w:i w:val="0"/>
                <w:iCs w:val="0"/>
                <w:color w:val="000000"/>
                <w:kern w:val="2"/>
                <w:sz w:val="21"/>
                <w:szCs w:val="21"/>
                <w:u w:val="none"/>
                <w:lang w:val="en-US" w:eastAsia="zh-CN" w:bidi="ar-SA"/>
              </w:rPr>
            </w:pPr>
            <w:r>
              <w:rPr>
                <w:rFonts w:hint="eastAsia" w:ascii="Times New Roman" w:hAnsi="Times New Roman" w:eastAsia="宋体" w:cs="微软雅黑"/>
                <w:i w:val="0"/>
                <w:iCs w:val="0"/>
                <w:color w:val="000000"/>
                <w:kern w:val="0"/>
                <w:sz w:val="21"/>
                <w:szCs w:val="21"/>
                <w:u w:val="none"/>
                <w:lang w:val="en-US" w:eastAsia="zh-CN" w:bidi="ar"/>
              </w:rPr>
              <w:t>超声波清洗机</w:t>
            </w:r>
          </w:p>
        </w:tc>
        <w:tc>
          <w:tcPr>
            <w:tcW w:w="1767" w:type="dxa"/>
            <w:tcBorders>
              <w:tl2br w:val="nil"/>
              <w:tr2bl w:val="nil"/>
            </w:tcBorders>
            <w:shd w:val="clear" w:color="auto" w:fill="auto"/>
            <w:noWrap w:val="0"/>
            <w:vAlign w:val="center"/>
          </w:tcPr>
          <w:p w14:paraId="13F21C7C">
            <w:pPr>
              <w:keepNext w:val="0"/>
              <w:keepLines w:val="0"/>
              <w:widowControl/>
              <w:suppressLineNumbers w:val="0"/>
              <w:jc w:val="center"/>
              <w:textAlignment w:val="center"/>
              <w:rPr>
                <w:rFonts w:hint="eastAsia" w:ascii="Times New Roman" w:hAnsi="Times New Roman" w:eastAsia="宋体" w:cs="宋体"/>
                <w:i w:val="0"/>
                <w:iCs w:val="0"/>
                <w:color w:val="000000"/>
                <w:kern w:val="2"/>
                <w:sz w:val="21"/>
                <w:szCs w:val="21"/>
                <w:u w:val="none"/>
                <w:lang w:val="en-US" w:eastAsia="zh-CN" w:bidi="ar-SA"/>
              </w:rPr>
            </w:pPr>
            <w:r>
              <w:rPr>
                <w:rFonts w:hint="eastAsia" w:ascii="Times New Roman" w:hAnsi="Times New Roman" w:eastAsia="宋体" w:cs="微软雅黑"/>
                <w:i w:val="0"/>
                <w:iCs w:val="0"/>
                <w:color w:val="000000"/>
                <w:kern w:val="0"/>
                <w:sz w:val="21"/>
                <w:szCs w:val="21"/>
                <w:u w:val="none"/>
                <w:lang w:val="en-US" w:eastAsia="zh-CN" w:bidi="ar"/>
              </w:rPr>
              <w:t>BC-1036</w:t>
            </w:r>
          </w:p>
        </w:tc>
        <w:tc>
          <w:tcPr>
            <w:tcW w:w="3320" w:type="dxa"/>
            <w:tcBorders>
              <w:tl2br w:val="nil"/>
              <w:tr2bl w:val="nil"/>
            </w:tcBorders>
            <w:shd w:val="clear" w:color="auto" w:fill="auto"/>
            <w:noWrap w:val="0"/>
            <w:vAlign w:val="center"/>
          </w:tcPr>
          <w:p w14:paraId="439C6E9E">
            <w:pPr>
              <w:keepNext w:val="0"/>
              <w:keepLines w:val="0"/>
              <w:widowControl/>
              <w:suppressLineNumbers w:val="0"/>
              <w:jc w:val="center"/>
              <w:textAlignment w:val="center"/>
              <w:rPr>
                <w:rFonts w:hint="eastAsia" w:ascii="Times New Roman" w:hAnsi="Times New Roman" w:eastAsia="宋体" w:cs="宋体"/>
                <w:i w:val="0"/>
                <w:iCs w:val="0"/>
                <w:color w:val="000000"/>
                <w:kern w:val="2"/>
                <w:sz w:val="21"/>
                <w:szCs w:val="21"/>
                <w:u w:val="none"/>
                <w:lang w:val="en-US" w:eastAsia="zh-CN" w:bidi="ar-SA"/>
              </w:rPr>
            </w:pPr>
            <w:r>
              <w:rPr>
                <w:rFonts w:hint="eastAsia" w:ascii="Times New Roman" w:hAnsi="Times New Roman" w:eastAsia="宋体" w:cs="微软雅黑"/>
                <w:i w:val="0"/>
                <w:iCs w:val="0"/>
                <w:color w:val="000000"/>
                <w:kern w:val="0"/>
                <w:sz w:val="21"/>
                <w:szCs w:val="21"/>
                <w:u w:val="none"/>
                <w:lang w:val="en-US" w:eastAsia="zh-CN" w:bidi="ar"/>
              </w:rPr>
              <w:t>温州百川超声波清洗设备有限公司</w:t>
            </w:r>
          </w:p>
        </w:tc>
        <w:tc>
          <w:tcPr>
            <w:tcW w:w="880" w:type="dxa"/>
            <w:tcBorders>
              <w:tl2br w:val="nil"/>
              <w:tr2bl w:val="nil"/>
            </w:tcBorders>
            <w:noWrap w:val="0"/>
            <w:vAlign w:val="center"/>
          </w:tcPr>
          <w:p w14:paraId="16472B60">
            <w:pPr>
              <w:keepNext w:val="0"/>
              <w:keepLines w:val="0"/>
              <w:widowControl/>
              <w:suppressLineNumbers w:val="0"/>
              <w:jc w:val="center"/>
              <w:textAlignment w:val="center"/>
              <w:rPr>
                <w:rFonts w:hint="default" w:ascii="Times New Roman" w:hAnsi="Times New Roman" w:cs="微软雅黑"/>
                <w:i w:val="0"/>
                <w:iCs w:val="0"/>
                <w:color w:val="auto"/>
                <w:kern w:val="0"/>
                <w:sz w:val="21"/>
                <w:szCs w:val="21"/>
                <w:u w:val="none"/>
                <w:lang w:val="en-US" w:eastAsia="zh-CN" w:bidi="ar"/>
              </w:rPr>
            </w:pPr>
            <w:r>
              <w:rPr>
                <w:rFonts w:hint="eastAsia" w:ascii="Times New Roman" w:hAnsi="Times New Roman" w:cs="微软雅黑"/>
                <w:i w:val="0"/>
                <w:iCs w:val="0"/>
                <w:color w:val="auto"/>
                <w:kern w:val="0"/>
                <w:sz w:val="21"/>
                <w:szCs w:val="21"/>
                <w:u w:val="none"/>
                <w:lang w:val="en-US" w:eastAsia="zh-CN" w:bidi="ar"/>
              </w:rPr>
              <w:t>2</w:t>
            </w:r>
          </w:p>
        </w:tc>
      </w:tr>
      <w:tr w14:paraId="35587FF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70" w:hRule="atLeast"/>
          <w:jc w:val="center"/>
        </w:trPr>
        <w:tc>
          <w:tcPr>
            <w:tcW w:w="758" w:type="dxa"/>
            <w:tcBorders>
              <w:tl2br w:val="nil"/>
              <w:tr2bl w:val="nil"/>
            </w:tcBorders>
            <w:noWrap w:val="0"/>
            <w:vAlign w:val="center"/>
          </w:tcPr>
          <w:p w14:paraId="6DEC066F">
            <w:pPr>
              <w:keepNext w:val="0"/>
              <w:keepLines w:val="0"/>
              <w:widowControl/>
              <w:numPr>
                <w:ilvl w:val="0"/>
                <w:numId w:val="2"/>
              </w:numPr>
              <w:suppressLineNumbers w:val="0"/>
              <w:ind w:left="360" w:leftChars="0" w:hanging="360" w:firstLineChars="0"/>
              <w:jc w:val="center"/>
              <w:textAlignment w:val="center"/>
              <w:rPr>
                <w:rFonts w:hint="eastAsia" w:ascii="Times New Roman" w:hAnsi="Times New Roman" w:eastAsia="宋体" w:cs="宋体"/>
                <w:i w:val="0"/>
                <w:iCs w:val="0"/>
                <w:color w:val="auto"/>
                <w:kern w:val="0"/>
                <w:sz w:val="21"/>
                <w:szCs w:val="21"/>
                <w:u w:val="none"/>
                <w:lang w:val="en-US" w:eastAsia="zh-CN" w:bidi="ar"/>
              </w:rPr>
            </w:pPr>
          </w:p>
        </w:tc>
        <w:tc>
          <w:tcPr>
            <w:tcW w:w="2396" w:type="dxa"/>
            <w:tcBorders>
              <w:tl2br w:val="nil"/>
              <w:tr2bl w:val="nil"/>
            </w:tcBorders>
            <w:shd w:val="clear" w:color="auto" w:fill="auto"/>
            <w:noWrap w:val="0"/>
            <w:vAlign w:val="center"/>
          </w:tcPr>
          <w:p w14:paraId="6845ED4F">
            <w:pPr>
              <w:keepNext w:val="0"/>
              <w:keepLines w:val="0"/>
              <w:widowControl/>
              <w:suppressLineNumbers w:val="0"/>
              <w:jc w:val="center"/>
              <w:textAlignment w:val="bottom"/>
              <w:rPr>
                <w:rFonts w:hint="eastAsia" w:ascii="Times New Roman" w:hAnsi="Times New Roman" w:eastAsia="宋体" w:cs="宋体"/>
                <w:i w:val="0"/>
                <w:iCs w:val="0"/>
                <w:color w:val="000000"/>
                <w:kern w:val="0"/>
                <w:sz w:val="21"/>
                <w:szCs w:val="21"/>
                <w:u w:val="none"/>
                <w:lang w:val="en-US" w:eastAsia="zh-CN" w:bidi="ar"/>
              </w:rPr>
            </w:pPr>
            <w:r>
              <w:rPr>
                <w:rFonts w:hint="eastAsia" w:ascii="Times New Roman" w:hAnsi="Times New Roman" w:eastAsia="宋体" w:cs="微软雅黑"/>
                <w:i w:val="0"/>
                <w:iCs w:val="0"/>
                <w:color w:val="000000"/>
                <w:kern w:val="0"/>
                <w:sz w:val="21"/>
                <w:szCs w:val="21"/>
                <w:u w:val="none"/>
                <w:lang w:val="en-US" w:eastAsia="zh-CN" w:bidi="ar"/>
              </w:rPr>
              <w:t>倒角机</w:t>
            </w:r>
          </w:p>
        </w:tc>
        <w:tc>
          <w:tcPr>
            <w:tcW w:w="1767" w:type="dxa"/>
            <w:tcBorders>
              <w:tl2br w:val="nil"/>
              <w:tr2bl w:val="nil"/>
            </w:tcBorders>
            <w:shd w:val="clear" w:color="auto" w:fill="auto"/>
            <w:noWrap w:val="0"/>
            <w:vAlign w:val="center"/>
          </w:tcPr>
          <w:p w14:paraId="3A29FF52">
            <w:pPr>
              <w:keepNext w:val="0"/>
              <w:keepLines w:val="0"/>
              <w:widowControl/>
              <w:suppressLineNumbers w:val="0"/>
              <w:jc w:val="center"/>
              <w:textAlignment w:val="bottom"/>
              <w:rPr>
                <w:rFonts w:hint="eastAsia" w:ascii="Times New Roman" w:hAnsi="Times New Roman" w:eastAsia="宋体" w:cs="宋体"/>
                <w:i w:val="0"/>
                <w:iCs w:val="0"/>
                <w:color w:val="000000"/>
                <w:kern w:val="0"/>
                <w:sz w:val="21"/>
                <w:szCs w:val="21"/>
                <w:u w:val="none"/>
                <w:lang w:val="en-US" w:eastAsia="zh-CN" w:bidi="ar"/>
              </w:rPr>
            </w:pPr>
            <w:r>
              <w:rPr>
                <w:rFonts w:hint="eastAsia" w:ascii="Times New Roman" w:hAnsi="Times New Roman" w:eastAsia="宋体" w:cs="微软雅黑"/>
                <w:i w:val="0"/>
                <w:iCs w:val="0"/>
                <w:color w:val="000000"/>
                <w:kern w:val="0"/>
                <w:sz w:val="21"/>
                <w:szCs w:val="21"/>
                <w:u w:val="none"/>
                <w:lang w:val="en-US" w:eastAsia="zh-CN" w:bidi="ar"/>
              </w:rPr>
              <w:t>SK23-5</w:t>
            </w:r>
          </w:p>
        </w:tc>
        <w:tc>
          <w:tcPr>
            <w:tcW w:w="3320" w:type="dxa"/>
            <w:tcBorders>
              <w:tl2br w:val="nil"/>
              <w:tr2bl w:val="nil"/>
            </w:tcBorders>
            <w:shd w:val="clear" w:color="auto" w:fill="auto"/>
            <w:noWrap w:val="0"/>
            <w:vAlign w:val="center"/>
          </w:tcPr>
          <w:p w14:paraId="3E12337B">
            <w:pPr>
              <w:keepNext w:val="0"/>
              <w:keepLines w:val="0"/>
              <w:widowControl/>
              <w:suppressLineNumbers w:val="0"/>
              <w:jc w:val="center"/>
              <w:textAlignment w:val="center"/>
              <w:rPr>
                <w:rFonts w:hint="eastAsia" w:ascii="Times New Roman" w:hAnsi="Times New Roman" w:eastAsia="宋体" w:cs="宋体"/>
                <w:i w:val="0"/>
                <w:iCs w:val="0"/>
                <w:color w:val="000000"/>
                <w:kern w:val="0"/>
                <w:sz w:val="21"/>
                <w:szCs w:val="21"/>
                <w:u w:val="none"/>
                <w:lang w:val="en-US" w:eastAsia="zh-CN" w:bidi="ar"/>
              </w:rPr>
            </w:pPr>
            <w:r>
              <w:rPr>
                <w:rFonts w:hint="eastAsia" w:ascii="Times New Roman" w:hAnsi="Times New Roman" w:eastAsia="宋体" w:cs="微软雅黑"/>
                <w:i w:val="0"/>
                <w:iCs w:val="0"/>
                <w:color w:val="000000"/>
                <w:kern w:val="0"/>
                <w:sz w:val="21"/>
                <w:szCs w:val="21"/>
                <w:u w:val="none"/>
                <w:lang w:val="en-US" w:eastAsia="zh-CN" w:bidi="ar"/>
              </w:rPr>
              <w:t>浙江永嘉机械制造</w:t>
            </w:r>
          </w:p>
        </w:tc>
        <w:tc>
          <w:tcPr>
            <w:tcW w:w="880" w:type="dxa"/>
            <w:tcBorders>
              <w:tl2br w:val="nil"/>
              <w:tr2bl w:val="nil"/>
            </w:tcBorders>
            <w:noWrap w:val="0"/>
            <w:vAlign w:val="center"/>
          </w:tcPr>
          <w:p w14:paraId="13985071">
            <w:pPr>
              <w:keepNext w:val="0"/>
              <w:keepLines w:val="0"/>
              <w:widowControl/>
              <w:suppressLineNumbers w:val="0"/>
              <w:jc w:val="center"/>
              <w:textAlignment w:val="center"/>
              <w:rPr>
                <w:rFonts w:hint="default" w:ascii="Times New Roman" w:hAnsi="Times New Roman" w:cs="微软雅黑"/>
                <w:i w:val="0"/>
                <w:iCs w:val="0"/>
                <w:color w:val="auto"/>
                <w:kern w:val="0"/>
                <w:sz w:val="21"/>
                <w:szCs w:val="21"/>
                <w:u w:val="none"/>
                <w:lang w:val="en-US" w:eastAsia="zh-CN" w:bidi="ar"/>
              </w:rPr>
            </w:pPr>
            <w:r>
              <w:rPr>
                <w:rFonts w:hint="eastAsia" w:ascii="Times New Roman" w:hAnsi="Times New Roman" w:cs="微软雅黑"/>
                <w:i w:val="0"/>
                <w:iCs w:val="0"/>
                <w:color w:val="auto"/>
                <w:kern w:val="0"/>
                <w:sz w:val="21"/>
                <w:szCs w:val="21"/>
                <w:u w:val="none"/>
                <w:lang w:val="en-US" w:eastAsia="zh-CN" w:bidi="ar"/>
              </w:rPr>
              <w:t>1</w:t>
            </w:r>
          </w:p>
        </w:tc>
      </w:tr>
      <w:tr w14:paraId="38A914D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70" w:hRule="atLeast"/>
          <w:jc w:val="center"/>
        </w:trPr>
        <w:tc>
          <w:tcPr>
            <w:tcW w:w="758" w:type="dxa"/>
            <w:tcBorders>
              <w:tl2br w:val="nil"/>
              <w:tr2bl w:val="nil"/>
            </w:tcBorders>
            <w:noWrap w:val="0"/>
            <w:vAlign w:val="center"/>
          </w:tcPr>
          <w:p w14:paraId="346BA260">
            <w:pPr>
              <w:keepNext w:val="0"/>
              <w:keepLines w:val="0"/>
              <w:widowControl/>
              <w:numPr>
                <w:ilvl w:val="0"/>
                <w:numId w:val="2"/>
              </w:numPr>
              <w:suppressLineNumbers w:val="0"/>
              <w:ind w:left="360" w:leftChars="0" w:hanging="360" w:firstLineChars="0"/>
              <w:jc w:val="center"/>
              <w:textAlignment w:val="center"/>
              <w:rPr>
                <w:rFonts w:hint="eastAsia" w:ascii="Times New Roman" w:hAnsi="Times New Roman" w:eastAsia="宋体" w:cs="宋体"/>
                <w:i w:val="0"/>
                <w:iCs w:val="0"/>
                <w:color w:val="auto"/>
                <w:kern w:val="0"/>
                <w:sz w:val="21"/>
                <w:szCs w:val="21"/>
                <w:u w:val="none"/>
                <w:lang w:val="en-US" w:eastAsia="zh-CN" w:bidi="ar"/>
              </w:rPr>
            </w:pPr>
          </w:p>
        </w:tc>
        <w:tc>
          <w:tcPr>
            <w:tcW w:w="2396" w:type="dxa"/>
            <w:tcBorders>
              <w:tl2br w:val="nil"/>
              <w:tr2bl w:val="nil"/>
            </w:tcBorders>
            <w:noWrap w:val="0"/>
            <w:vAlign w:val="center"/>
          </w:tcPr>
          <w:p w14:paraId="60C6C5E7">
            <w:pPr>
              <w:keepNext w:val="0"/>
              <w:keepLines w:val="0"/>
              <w:widowControl/>
              <w:suppressLineNumbers w:val="0"/>
              <w:jc w:val="center"/>
              <w:textAlignment w:val="bottom"/>
              <w:rPr>
                <w:rFonts w:hint="eastAsia" w:ascii="Times New Roman" w:hAnsi="Times New Roman" w:eastAsia="宋体" w:cs="宋体"/>
                <w:i w:val="0"/>
                <w:iCs w:val="0"/>
                <w:color w:val="auto"/>
                <w:kern w:val="0"/>
                <w:sz w:val="21"/>
                <w:szCs w:val="21"/>
                <w:u w:val="none"/>
                <w:lang w:val="en-US" w:eastAsia="zh-CN" w:bidi="ar"/>
              </w:rPr>
            </w:pPr>
            <w:r>
              <w:rPr>
                <w:rFonts w:hint="eastAsia" w:ascii="Times New Roman" w:hAnsi="Times New Roman" w:eastAsia="宋体" w:cs="微软雅黑"/>
                <w:i w:val="0"/>
                <w:iCs w:val="0"/>
                <w:color w:val="auto"/>
                <w:kern w:val="0"/>
                <w:sz w:val="21"/>
                <w:szCs w:val="21"/>
                <w:u w:val="none"/>
                <w:lang w:val="en-US" w:eastAsia="zh-CN" w:bidi="ar"/>
              </w:rPr>
              <w:t>焊机</w:t>
            </w:r>
          </w:p>
        </w:tc>
        <w:tc>
          <w:tcPr>
            <w:tcW w:w="1767" w:type="dxa"/>
            <w:tcBorders>
              <w:tl2br w:val="nil"/>
              <w:tr2bl w:val="nil"/>
            </w:tcBorders>
            <w:noWrap w:val="0"/>
            <w:vAlign w:val="center"/>
          </w:tcPr>
          <w:p w14:paraId="4F34FC01">
            <w:pPr>
              <w:keepNext w:val="0"/>
              <w:keepLines w:val="0"/>
              <w:widowControl/>
              <w:suppressLineNumbers w:val="0"/>
              <w:jc w:val="center"/>
              <w:textAlignment w:val="top"/>
              <w:rPr>
                <w:rFonts w:hint="default" w:ascii="Times New Roman" w:hAnsi="Times New Roman" w:eastAsia="宋体" w:cs="宋体"/>
                <w:i w:val="0"/>
                <w:iCs w:val="0"/>
                <w:color w:val="auto"/>
                <w:kern w:val="0"/>
                <w:sz w:val="21"/>
                <w:szCs w:val="21"/>
                <w:u w:val="none"/>
                <w:lang w:val="en-US" w:eastAsia="zh-CN" w:bidi="ar"/>
              </w:rPr>
            </w:pPr>
            <w:r>
              <w:rPr>
                <w:rFonts w:hint="eastAsia" w:ascii="Times New Roman" w:hAnsi="Times New Roman" w:eastAsia="宋体" w:cs="微软雅黑"/>
                <w:i w:val="0"/>
                <w:iCs w:val="0"/>
                <w:color w:val="auto"/>
                <w:kern w:val="0"/>
                <w:sz w:val="21"/>
                <w:szCs w:val="21"/>
                <w:u w:val="none"/>
                <w:lang w:val="en-US" w:eastAsia="zh-CN" w:bidi="ar"/>
              </w:rPr>
              <w:t>DN-16</w:t>
            </w:r>
          </w:p>
        </w:tc>
        <w:tc>
          <w:tcPr>
            <w:tcW w:w="3320" w:type="dxa"/>
            <w:tcBorders>
              <w:tl2br w:val="nil"/>
              <w:tr2bl w:val="nil"/>
            </w:tcBorders>
            <w:noWrap w:val="0"/>
            <w:vAlign w:val="center"/>
          </w:tcPr>
          <w:p w14:paraId="6EB086F7">
            <w:pPr>
              <w:keepNext w:val="0"/>
              <w:keepLines w:val="0"/>
              <w:widowControl/>
              <w:suppressLineNumbers w:val="0"/>
              <w:jc w:val="center"/>
              <w:textAlignment w:val="center"/>
              <w:rPr>
                <w:rFonts w:hint="eastAsia" w:ascii="Times New Roman" w:hAnsi="Times New Roman" w:eastAsia="宋体" w:cs="宋体"/>
                <w:i w:val="0"/>
                <w:iCs w:val="0"/>
                <w:color w:val="auto"/>
                <w:kern w:val="0"/>
                <w:sz w:val="21"/>
                <w:szCs w:val="21"/>
                <w:u w:val="none"/>
                <w:lang w:val="en-US" w:eastAsia="zh-CN" w:bidi="ar"/>
              </w:rPr>
            </w:pPr>
            <w:r>
              <w:rPr>
                <w:rFonts w:hint="eastAsia" w:ascii="Times New Roman" w:hAnsi="Times New Roman" w:eastAsia="宋体" w:cs="微软雅黑"/>
                <w:i w:val="0"/>
                <w:iCs w:val="0"/>
                <w:color w:val="auto"/>
                <w:kern w:val="0"/>
                <w:sz w:val="21"/>
                <w:szCs w:val="21"/>
                <w:u w:val="none"/>
                <w:lang w:val="en-US" w:eastAsia="zh-CN" w:bidi="ar"/>
              </w:rPr>
              <w:t>上海焊之力</w:t>
            </w:r>
          </w:p>
        </w:tc>
        <w:tc>
          <w:tcPr>
            <w:tcW w:w="880" w:type="dxa"/>
            <w:tcBorders>
              <w:tl2br w:val="nil"/>
              <w:tr2bl w:val="nil"/>
            </w:tcBorders>
            <w:noWrap w:val="0"/>
            <w:vAlign w:val="center"/>
          </w:tcPr>
          <w:p w14:paraId="4C12DAD8">
            <w:pPr>
              <w:keepNext w:val="0"/>
              <w:keepLines w:val="0"/>
              <w:widowControl/>
              <w:suppressLineNumbers w:val="0"/>
              <w:jc w:val="center"/>
              <w:textAlignment w:val="center"/>
              <w:rPr>
                <w:rFonts w:hint="default" w:ascii="Times New Roman" w:hAnsi="Times New Roman" w:eastAsia="宋体" w:cs="宋体"/>
                <w:i w:val="0"/>
                <w:iCs w:val="0"/>
                <w:color w:val="auto"/>
                <w:kern w:val="0"/>
                <w:sz w:val="21"/>
                <w:szCs w:val="21"/>
                <w:u w:val="none"/>
                <w:lang w:val="en-US" w:eastAsia="zh-CN" w:bidi="ar"/>
              </w:rPr>
            </w:pPr>
            <w:r>
              <w:rPr>
                <w:rFonts w:hint="eastAsia" w:ascii="Times New Roman" w:hAnsi="Times New Roman" w:eastAsia="宋体" w:cs="微软雅黑"/>
                <w:i w:val="0"/>
                <w:iCs w:val="0"/>
                <w:color w:val="auto"/>
                <w:kern w:val="0"/>
                <w:sz w:val="21"/>
                <w:szCs w:val="21"/>
                <w:u w:val="none"/>
                <w:lang w:val="en-US" w:eastAsia="zh-CN" w:bidi="ar"/>
              </w:rPr>
              <w:t>1</w:t>
            </w:r>
          </w:p>
        </w:tc>
      </w:tr>
      <w:tr w14:paraId="6AAA930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70" w:hRule="atLeast"/>
          <w:jc w:val="center"/>
        </w:trPr>
        <w:tc>
          <w:tcPr>
            <w:tcW w:w="758" w:type="dxa"/>
            <w:tcBorders>
              <w:tl2br w:val="nil"/>
              <w:tr2bl w:val="nil"/>
            </w:tcBorders>
            <w:noWrap w:val="0"/>
            <w:vAlign w:val="center"/>
          </w:tcPr>
          <w:p w14:paraId="021BC4AD">
            <w:pPr>
              <w:keepNext w:val="0"/>
              <w:keepLines w:val="0"/>
              <w:widowControl/>
              <w:numPr>
                <w:ilvl w:val="0"/>
                <w:numId w:val="2"/>
              </w:numPr>
              <w:suppressLineNumbers w:val="0"/>
              <w:ind w:left="360" w:leftChars="0" w:hanging="360" w:firstLineChars="0"/>
              <w:jc w:val="center"/>
              <w:textAlignment w:val="center"/>
              <w:rPr>
                <w:rFonts w:hint="eastAsia" w:ascii="Times New Roman" w:hAnsi="Times New Roman" w:eastAsia="宋体" w:cs="宋体"/>
                <w:i w:val="0"/>
                <w:iCs w:val="0"/>
                <w:color w:val="auto"/>
                <w:kern w:val="0"/>
                <w:sz w:val="21"/>
                <w:szCs w:val="21"/>
                <w:u w:val="none"/>
                <w:lang w:val="en-US" w:eastAsia="zh-CN" w:bidi="ar"/>
              </w:rPr>
            </w:pPr>
          </w:p>
        </w:tc>
        <w:tc>
          <w:tcPr>
            <w:tcW w:w="2396" w:type="dxa"/>
            <w:tcBorders>
              <w:tl2br w:val="nil"/>
              <w:tr2bl w:val="nil"/>
            </w:tcBorders>
            <w:noWrap w:val="0"/>
            <w:vAlign w:val="center"/>
          </w:tcPr>
          <w:p w14:paraId="0BE6E472">
            <w:pPr>
              <w:keepNext w:val="0"/>
              <w:keepLines w:val="0"/>
              <w:widowControl/>
              <w:suppressLineNumbers w:val="0"/>
              <w:jc w:val="center"/>
              <w:textAlignment w:val="bottom"/>
              <w:rPr>
                <w:rFonts w:hint="eastAsia" w:ascii="Times New Roman" w:hAnsi="Times New Roman" w:eastAsia="宋体" w:cs="微软雅黑"/>
                <w:i w:val="0"/>
                <w:iCs w:val="0"/>
                <w:color w:val="auto"/>
                <w:kern w:val="0"/>
                <w:sz w:val="21"/>
                <w:szCs w:val="21"/>
                <w:u w:val="none"/>
                <w:lang w:val="en-US" w:eastAsia="zh-CN" w:bidi="ar"/>
              </w:rPr>
            </w:pPr>
            <w:r>
              <w:rPr>
                <w:rFonts w:hint="eastAsia" w:ascii="Times New Roman" w:hAnsi="Times New Roman" w:eastAsia="宋体" w:cs="微软雅黑"/>
                <w:i w:val="0"/>
                <w:iCs w:val="0"/>
                <w:color w:val="auto"/>
                <w:kern w:val="0"/>
                <w:sz w:val="21"/>
                <w:szCs w:val="21"/>
                <w:u w:val="none"/>
                <w:lang w:val="en-US" w:eastAsia="zh-CN" w:bidi="ar"/>
              </w:rPr>
              <w:t>激光打标机</w:t>
            </w:r>
          </w:p>
        </w:tc>
        <w:tc>
          <w:tcPr>
            <w:tcW w:w="1767" w:type="dxa"/>
            <w:tcBorders>
              <w:tl2br w:val="nil"/>
              <w:tr2bl w:val="nil"/>
            </w:tcBorders>
            <w:noWrap w:val="0"/>
            <w:vAlign w:val="center"/>
          </w:tcPr>
          <w:p w14:paraId="4D2AC113">
            <w:pPr>
              <w:keepNext w:val="0"/>
              <w:keepLines w:val="0"/>
              <w:widowControl/>
              <w:suppressLineNumbers w:val="0"/>
              <w:jc w:val="center"/>
              <w:textAlignment w:val="bottom"/>
              <w:rPr>
                <w:rFonts w:hint="default" w:ascii="Times New Roman" w:hAnsi="Times New Roman" w:eastAsia="宋体" w:cs="宋体"/>
                <w:i w:val="0"/>
                <w:iCs w:val="0"/>
                <w:color w:val="auto"/>
                <w:kern w:val="0"/>
                <w:sz w:val="21"/>
                <w:szCs w:val="21"/>
                <w:u w:val="none"/>
                <w:lang w:val="en-US" w:eastAsia="zh-CN" w:bidi="ar"/>
              </w:rPr>
            </w:pPr>
            <w:r>
              <w:rPr>
                <w:rFonts w:hint="eastAsia" w:ascii="Times New Roman" w:hAnsi="Times New Roman" w:eastAsia="宋体" w:cs="微软雅黑"/>
                <w:i w:val="0"/>
                <w:iCs w:val="0"/>
                <w:color w:val="auto"/>
                <w:kern w:val="0"/>
                <w:sz w:val="21"/>
                <w:szCs w:val="21"/>
                <w:u w:val="none"/>
                <w:lang w:val="en-US" w:eastAsia="zh-CN" w:bidi="ar"/>
              </w:rPr>
              <w:t>BS-400X200</w:t>
            </w:r>
          </w:p>
        </w:tc>
        <w:tc>
          <w:tcPr>
            <w:tcW w:w="3320" w:type="dxa"/>
            <w:tcBorders>
              <w:tl2br w:val="nil"/>
              <w:tr2bl w:val="nil"/>
            </w:tcBorders>
            <w:noWrap w:val="0"/>
            <w:vAlign w:val="center"/>
          </w:tcPr>
          <w:p w14:paraId="3C63BE0F">
            <w:pPr>
              <w:keepNext w:val="0"/>
              <w:keepLines w:val="0"/>
              <w:widowControl/>
              <w:suppressLineNumbers w:val="0"/>
              <w:jc w:val="center"/>
              <w:textAlignment w:val="center"/>
              <w:rPr>
                <w:rFonts w:hint="eastAsia" w:ascii="Times New Roman" w:hAnsi="Times New Roman" w:eastAsia="宋体" w:cs="宋体"/>
                <w:i w:val="0"/>
                <w:iCs w:val="0"/>
                <w:color w:val="auto"/>
                <w:kern w:val="0"/>
                <w:sz w:val="21"/>
                <w:szCs w:val="21"/>
                <w:u w:val="none"/>
                <w:lang w:val="en-US" w:eastAsia="zh-CN" w:bidi="ar"/>
              </w:rPr>
            </w:pPr>
            <w:r>
              <w:rPr>
                <w:rFonts w:hint="eastAsia" w:ascii="Times New Roman" w:hAnsi="Times New Roman" w:eastAsia="宋体" w:cs="微软雅黑"/>
                <w:i w:val="0"/>
                <w:iCs w:val="0"/>
                <w:color w:val="auto"/>
                <w:kern w:val="0"/>
                <w:sz w:val="21"/>
                <w:szCs w:val="21"/>
                <w:u w:val="none"/>
                <w:lang w:val="en-US" w:eastAsia="zh-CN" w:bidi="ar"/>
              </w:rPr>
              <w:t>巨广激光科技</w:t>
            </w:r>
          </w:p>
        </w:tc>
        <w:tc>
          <w:tcPr>
            <w:tcW w:w="880" w:type="dxa"/>
            <w:tcBorders>
              <w:tl2br w:val="nil"/>
              <w:tr2bl w:val="nil"/>
            </w:tcBorders>
            <w:noWrap w:val="0"/>
            <w:vAlign w:val="center"/>
          </w:tcPr>
          <w:p w14:paraId="5D89D922">
            <w:pPr>
              <w:keepNext w:val="0"/>
              <w:keepLines w:val="0"/>
              <w:widowControl/>
              <w:suppressLineNumbers w:val="0"/>
              <w:jc w:val="center"/>
              <w:textAlignment w:val="bottom"/>
              <w:rPr>
                <w:rFonts w:hint="default" w:ascii="Times New Roman" w:hAnsi="Times New Roman" w:eastAsia="宋体" w:cs="宋体"/>
                <w:i w:val="0"/>
                <w:iCs w:val="0"/>
                <w:color w:val="auto"/>
                <w:kern w:val="0"/>
                <w:sz w:val="21"/>
                <w:szCs w:val="21"/>
                <w:u w:val="none"/>
                <w:lang w:val="en-US" w:eastAsia="zh-CN" w:bidi="ar"/>
              </w:rPr>
            </w:pPr>
            <w:r>
              <w:rPr>
                <w:rFonts w:hint="eastAsia" w:ascii="Times New Roman" w:hAnsi="Times New Roman" w:eastAsia="宋体" w:cs="微软雅黑"/>
                <w:i w:val="0"/>
                <w:iCs w:val="0"/>
                <w:color w:val="auto"/>
                <w:kern w:val="0"/>
                <w:sz w:val="21"/>
                <w:szCs w:val="21"/>
                <w:u w:val="none"/>
                <w:lang w:val="en-US" w:eastAsia="zh-CN" w:bidi="ar"/>
              </w:rPr>
              <w:t>1</w:t>
            </w:r>
          </w:p>
        </w:tc>
      </w:tr>
      <w:tr w14:paraId="21B8FB5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70" w:hRule="atLeast"/>
          <w:jc w:val="center"/>
        </w:trPr>
        <w:tc>
          <w:tcPr>
            <w:tcW w:w="758" w:type="dxa"/>
            <w:tcBorders>
              <w:tl2br w:val="nil"/>
              <w:tr2bl w:val="nil"/>
            </w:tcBorders>
            <w:noWrap w:val="0"/>
            <w:vAlign w:val="center"/>
          </w:tcPr>
          <w:p w14:paraId="74A3C53F">
            <w:pPr>
              <w:keepNext w:val="0"/>
              <w:keepLines w:val="0"/>
              <w:widowControl/>
              <w:numPr>
                <w:ilvl w:val="0"/>
                <w:numId w:val="2"/>
              </w:numPr>
              <w:suppressLineNumbers w:val="0"/>
              <w:ind w:left="360" w:leftChars="0" w:hanging="360" w:firstLineChars="0"/>
              <w:jc w:val="center"/>
              <w:textAlignment w:val="center"/>
              <w:rPr>
                <w:rFonts w:hint="eastAsia" w:ascii="Times New Roman" w:hAnsi="Times New Roman" w:eastAsia="宋体" w:cs="宋体"/>
                <w:i w:val="0"/>
                <w:iCs w:val="0"/>
                <w:color w:val="auto"/>
                <w:kern w:val="0"/>
                <w:sz w:val="21"/>
                <w:szCs w:val="21"/>
                <w:u w:val="none"/>
                <w:lang w:val="en-US" w:eastAsia="zh-CN" w:bidi="ar"/>
              </w:rPr>
            </w:pPr>
          </w:p>
        </w:tc>
        <w:tc>
          <w:tcPr>
            <w:tcW w:w="2396" w:type="dxa"/>
            <w:tcBorders>
              <w:tl2br w:val="nil"/>
              <w:tr2bl w:val="nil"/>
            </w:tcBorders>
            <w:noWrap w:val="0"/>
            <w:vAlign w:val="center"/>
          </w:tcPr>
          <w:p w14:paraId="22AAB248">
            <w:pPr>
              <w:keepNext w:val="0"/>
              <w:keepLines w:val="0"/>
              <w:widowControl/>
              <w:suppressLineNumbers w:val="0"/>
              <w:jc w:val="center"/>
              <w:textAlignment w:val="bottom"/>
              <w:rPr>
                <w:rFonts w:hint="eastAsia" w:ascii="Times New Roman" w:hAnsi="Times New Roman" w:eastAsia="宋体" w:cs="微软雅黑"/>
                <w:i w:val="0"/>
                <w:iCs w:val="0"/>
                <w:color w:val="auto"/>
                <w:kern w:val="0"/>
                <w:sz w:val="21"/>
                <w:szCs w:val="21"/>
                <w:u w:val="none"/>
                <w:lang w:val="en-US" w:eastAsia="zh-CN" w:bidi="ar"/>
              </w:rPr>
            </w:pPr>
            <w:r>
              <w:rPr>
                <w:rFonts w:hint="eastAsia" w:ascii="Times New Roman" w:hAnsi="Times New Roman" w:eastAsia="宋体" w:cs="微软雅黑"/>
                <w:i w:val="0"/>
                <w:iCs w:val="0"/>
                <w:color w:val="auto"/>
                <w:kern w:val="0"/>
                <w:sz w:val="21"/>
                <w:szCs w:val="21"/>
                <w:u w:val="none"/>
                <w:lang w:val="en-US" w:eastAsia="zh-CN" w:bidi="ar"/>
              </w:rPr>
              <w:t>激光打标机</w:t>
            </w:r>
          </w:p>
        </w:tc>
        <w:tc>
          <w:tcPr>
            <w:tcW w:w="1767" w:type="dxa"/>
            <w:tcBorders>
              <w:tl2br w:val="nil"/>
              <w:tr2bl w:val="nil"/>
            </w:tcBorders>
            <w:noWrap w:val="0"/>
            <w:vAlign w:val="center"/>
          </w:tcPr>
          <w:p w14:paraId="4E025720">
            <w:pPr>
              <w:keepNext w:val="0"/>
              <w:keepLines w:val="0"/>
              <w:widowControl/>
              <w:suppressLineNumbers w:val="0"/>
              <w:jc w:val="center"/>
              <w:textAlignment w:val="bottom"/>
              <w:rPr>
                <w:rFonts w:hint="default" w:ascii="Times New Roman" w:hAnsi="Times New Roman" w:eastAsia="宋体" w:cs="宋体"/>
                <w:i w:val="0"/>
                <w:iCs w:val="0"/>
                <w:color w:val="auto"/>
                <w:kern w:val="0"/>
                <w:sz w:val="21"/>
                <w:szCs w:val="21"/>
                <w:u w:val="none"/>
                <w:lang w:val="en-US" w:eastAsia="zh-CN" w:bidi="ar"/>
              </w:rPr>
            </w:pPr>
            <w:r>
              <w:rPr>
                <w:rFonts w:hint="eastAsia" w:ascii="Times New Roman" w:hAnsi="Times New Roman" w:eastAsia="宋体" w:cs="微软雅黑"/>
                <w:i w:val="0"/>
                <w:iCs w:val="0"/>
                <w:color w:val="auto"/>
                <w:kern w:val="0"/>
                <w:sz w:val="21"/>
                <w:szCs w:val="21"/>
                <w:u w:val="none"/>
                <w:lang w:val="en-US" w:eastAsia="zh-CN" w:bidi="ar"/>
              </w:rPr>
              <w:t>FA9081</w:t>
            </w:r>
          </w:p>
        </w:tc>
        <w:tc>
          <w:tcPr>
            <w:tcW w:w="3320" w:type="dxa"/>
            <w:tcBorders>
              <w:tl2br w:val="nil"/>
              <w:tr2bl w:val="nil"/>
            </w:tcBorders>
            <w:noWrap w:val="0"/>
            <w:vAlign w:val="center"/>
          </w:tcPr>
          <w:p w14:paraId="15E23C24">
            <w:pPr>
              <w:keepNext w:val="0"/>
              <w:keepLines w:val="0"/>
              <w:widowControl/>
              <w:suppressLineNumbers w:val="0"/>
              <w:jc w:val="center"/>
              <w:textAlignment w:val="center"/>
              <w:rPr>
                <w:rFonts w:hint="eastAsia" w:ascii="Times New Roman" w:hAnsi="Times New Roman" w:eastAsia="宋体" w:cs="宋体"/>
                <w:i w:val="0"/>
                <w:iCs w:val="0"/>
                <w:color w:val="auto"/>
                <w:kern w:val="0"/>
                <w:sz w:val="21"/>
                <w:szCs w:val="21"/>
                <w:u w:val="none"/>
                <w:lang w:val="en-US" w:eastAsia="zh-CN" w:bidi="ar"/>
              </w:rPr>
            </w:pPr>
            <w:r>
              <w:rPr>
                <w:rFonts w:hint="eastAsia" w:ascii="Times New Roman" w:hAnsi="Times New Roman" w:eastAsia="宋体" w:cs="微软雅黑"/>
                <w:i w:val="0"/>
                <w:iCs w:val="0"/>
                <w:color w:val="auto"/>
                <w:kern w:val="0"/>
                <w:sz w:val="21"/>
                <w:szCs w:val="21"/>
                <w:u w:val="none"/>
                <w:lang w:val="en-US" w:eastAsia="zh-CN" w:bidi="ar"/>
              </w:rPr>
              <w:t>东署激光科技</w:t>
            </w:r>
          </w:p>
        </w:tc>
        <w:tc>
          <w:tcPr>
            <w:tcW w:w="880" w:type="dxa"/>
            <w:tcBorders>
              <w:tl2br w:val="nil"/>
              <w:tr2bl w:val="nil"/>
            </w:tcBorders>
            <w:noWrap w:val="0"/>
            <w:vAlign w:val="center"/>
          </w:tcPr>
          <w:p w14:paraId="2FB074B5">
            <w:pPr>
              <w:keepNext w:val="0"/>
              <w:keepLines w:val="0"/>
              <w:widowControl/>
              <w:suppressLineNumbers w:val="0"/>
              <w:jc w:val="center"/>
              <w:textAlignment w:val="bottom"/>
              <w:rPr>
                <w:rFonts w:hint="default" w:ascii="Times New Roman" w:hAnsi="Times New Roman" w:eastAsia="宋体" w:cs="宋体"/>
                <w:i w:val="0"/>
                <w:iCs w:val="0"/>
                <w:color w:val="auto"/>
                <w:kern w:val="0"/>
                <w:sz w:val="21"/>
                <w:szCs w:val="21"/>
                <w:u w:val="none"/>
                <w:lang w:val="en-US" w:eastAsia="zh-CN" w:bidi="ar"/>
              </w:rPr>
            </w:pPr>
            <w:r>
              <w:rPr>
                <w:rFonts w:hint="eastAsia" w:ascii="Times New Roman" w:hAnsi="Times New Roman" w:eastAsia="宋体" w:cs="微软雅黑"/>
                <w:i w:val="0"/>
                <w:iCs w:val="0"/>
                <w:color w:val="auto"/>
                <w:kern w:val="0"/>
                <w:sz w:val="21"/>
                <w:szCs w:val="21"/>
                <w:u w:val="none"/>
                <w:lang w:val="en-US" w:eastAsia="zh-CN" w:bidi="ar"/>
              </w:rPr>
              <w:t>1</w:t>
            </w:r>
          </w:p>
        </w:tc>
      </w:tr>
      <w:tr w14:paraId="494F668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70" w:hRule="atLeast"/>
          <w:jc w:val="center"/>
        </w:trPr>
        <w:tc>
          <w:tcPr>
            <w:tcW w:w="758" w:type="dxa"/>
            <w:tcBorders>
              <w:tl2br w:val="nil"/>
              <w:tr2bl w:val="nil"/>
            </w:tcBorders>
            <w:noWrap w:val="0"/>
            <w:vAlign w:val="center"/>
          </w:tcPr>
          <w:p w14:paraId="58620B92">
            <w:pPr>
              <w:keepNext w:val="0"/>
              <w:keepLines w:val="0"/>
              <w:widowControl/>
              <w:numPr>
                <w:ilvl w:val="0"/>
                <w:numId w:val="2"/>
              </w:numPr>
              <w:suppressLineNumbers w:val="0"/>
              <w:ind w:left="360" w:leftChars="0" w:hanging="360" w:firstLineChars="0"/>
              <w:jc w:val="center"/>
              <w:textAlignment w:val="center"/>
              <w:rPr>
                <w:rFonts w:hint="eastAsia" w:ascii="Times New Roman" w:hAnsi="Times New Roman" w:eastAsia="宋体" w:cs="宋体"/>
                <w:i w:val="0"/>
                <w:iCs w:val="0"/>
                <w:color w:val="auto"/>
                <w:kern w:val="0"/>
                <w:sz w:val="21"/>
                <w:szCs w:val="21"/>
                <w:u w:val="none"/>
                <w:lang w:val="en-US" w:eastAsia="zh-CN" w:bidi="ar"/>
              </w:rPr>
            </w:pPr>
          </w:p>
        </w:tc>
        <w:tc>
          <w:tcPr>
            <w:tcW w:w="2396" w:type="dxa"/>
            <w:tcBorders>
              <w:tl2br w:val="nil"/>
              <w:tr2bl w:val="nil"/>
            </w:tcBorders>
            <w:noWrap w:val="0"/>
            <w:vAlign w:val="center"/>
          </w:tcPr>
          <w:p w14:paraId="2A3EB44E">
            <w:pPr>
              <w:keepNext w:val="0"/>
              <w:keepLines w:val="0"/>
              <w:widowControl/>
              <w:suppressLineNumbers w:val="0"/>
              <w:jc w:val="center"/>
              <w:textAlignment w:val="bottom"/>
              <w:rPr>
                <w:rFonts w:hint="eastAsia" w:ascii="Times New Roman" w:hAnsi="Times New Roman" w:eastAsia="宋体" w:cs="微软雅黑"/>
                <w:i w:val="0"/>
                <w:iCs w:val="0"/>
                <w:color w:val="auto"/>
                <w:kern w:val="0"/>
                <w:sz w:val="21"/>
                <w:szCs w:val="21"/>
                <w:u w:val="none"/>
                <w:lang w:val="en-US" w:eastAsia="zh-CN" w:bidi="ar"/>
              </w:rPr>
            </w:pPr>
            <w:r>
              <w:rPr>
                <w:rFonts w:hint="eastAsia" w:ascii="Times New Roman" w:hAnsi="Times New Roman" w:eastAsia="宋体" w:cs="微软雅黑"/>
                <w:i w:val="0"/>
                <w:iCs w:val="0"/>
                <w:color w:val="auto"/>
                <w:kern w:val="0"/>
                <w:sz w:val="21"/>
                <w:szCs w:val="21"/>
                <w:u w:val="none"/>
                <w:lang w:val="en-US" w:eastAsia="zh-CN" w:bidi="ar"/>
              </w:rPr>
              <w:t>精密电火花成型机</w:t>
            </w:r>
          </w:p>
        </w:tc>
        <w:tc>
          <w:tcPr>
            <w:tcW w:w="1767" w:type="dxa"/>
            <w:tcBorders>
              <w:tl2br w:val="nil"/>
              <w:tr2bl w:val="nil"/>
            </w:tcBorders>
            <w:noWrap w:val="0"/>
            <w:vAlign w:val="center"/>
          </w:tcPr>
          <w:p w14:paraId="04D9480B">
            <w:pPr>
              <w:keepNext w:val="0"/>
              <w:keepLines w:val="0"/>
              <w:widowControl/>
              <w:suppressLineNumbers w:val="0"/>
              <w:jc w:val="center"/>
              <w:textAlignment w:val="bottom"/>
              <w:rPr>
                <w:rFonts w:hint="default" w:ascii="Times New Roman" w:hAnsi="Times New Roman" w:eastAsia="宋体" w:cs="宋体"/>
                <w:i w:val="0"/>
                <w:iCs w:val="0"/>
                <w:color w:val="auto"/>
                <w:kern w:val="0"/>
                <w:sz w:val="21"/>
                <w:szCs w:val="21"/>
                <w:u w:val="none"/>
                <w:lang w:val="en-US" w:eastAsia="zh-CN" w:bidi="ar"/>
              </w:rPr>
            </w:pPr>
            <w:r>
              <w:rPr>
                <w:rFonts w:hint="eastAsia" w:ascii="Times New Roman" w:hAnsi="Times New Roman" w:eastAsia="宋体" w:cs="微软雅黑"/>
                <w:i w:val="0"/>
                <w:iCs w:val="0"/>
                <w:color w:val="auto"/>
                <w:kern w:val="0"/>
                <w:sz w:val="21"/>
                <w:szCs w:val="21"/>
                <w:u w:val="none"/>
                <w:lang w:val="en-US" w:eastAsia="zh-CN" w:bidi="ar"/>
              </w:rPr>
              <w:t>ZNC325J</w:t>
            </w:r>
          </w:p>
        </w:tc>
        <w:tc>
          <w:tcPr>
            <w:tcW w:w="3320" w:type="dxa"/>
            <w:tcBorders>
              <w:tl2br w:val="nil"/>
              <w:tr2bl w:val="nil"/>
            </w:tcBorders>
            <w:noWrap w:val="0"/>
            <w:vAlign w:val="center"/>
          </w:tcPr>
          <w:p w14:paraId="2A6B75D3">
            <w:pPr>
              <w:keepNext w:val="0"/>
              <w:keepLines w:val="0"/>
              <w:widowControl/>
              <w:suppressLineNumbers w:val="0"/>
              <w:jc w:val="center"/>
              <w:textAlignment w:val="center"/>
              <w:rPr>
                <w:rFonts w:hint="eastAsia" w:ascii="Times New Roman" w:hAnsi="Times New Roman" w:eastAsia="宋体" w:cs="宋体"/>
                <w:i w:val="0"/>
                <w:iCs w:val="0"/>
                <w:color w:val="auto"/>
                <w:kern w:val="0"/>
                <w:sz w:val="21"/>
                <w:szCs w:val="21"/>
                <w:u w:val="none"/>
                <w:lang w:val="en-US" w:eastAsia="zh-CN" w:bidi="ar"/>
              </w:rPr>
            </w:pPr>
            <w:r>
              <w:rPr>
                <w:rFonts w:hint="eastAsia" w:ascii="Times New Roman" w:hAnsi="Times New Roman" w:eastAsia="宋体" w:cs="微软雅黑"/>
                <w:i w:val="0"/>
                <w:iCs w:val="0"/>
                <w:color w:val="auto"/>
                <w:kern w:val="0"/>
                <w:sz w:val="21"/>
                <w:szCs w:val="21"/>
                <w:u w:val="none"/>
                <w:lang w:val="en-US" w:eastAsia="zh-CN" w:bidi="ar"/>
              </w:rPr>
              <w:t>江苏胜艾格森数控设备制造有限公司</w:t>
            </w:r>
          </w:p>
        </w:tc>
        <w:tc>
          <w:tcPr>
            <w:tcW w:w="880" w:type="dxa"/>
            <w:tcBorders>
              <w:tl2br w:val="nil"/>
              <w:tr2bl w:val="nil"/>
            </w:tcBorders>
            <w:noWrap w:val="0"/>
            <w:vAlign w:val="center"/>
          </w:tcPr>
          <w:p w14:paraId="1AD26458">
            <w:pPr>
              <w:keepNext w:val="0"/>
              <w:keepLines w:val="0"/>
              <w:widowControl/>
              <w:suppressLineNumbers w:val="0"/>
              <w:jc w:val="center"/>
              <w:textAlignment w:val="bottom"/>
              <w:rPr>
                <w:rFonts w:hint="default" w:ascii="Times New Roman" w:hAnsi="Times New Roman" w:eastAsia="宋体" w:cs="宋体"/>
                <w:i w:val="0"/>
                <w:iCs w:val="0"/>
                <w:color w:val="auto"/>
                <w:kern w:val="0"/>
                <w:sz w:val="21"/>
                <w:szCs w:val="21"/>
                <w:u w:val="none"/>
                <w:lang w:val="en-US" w:eastAsia="zh-CN" w:bidi="ar"/>
              </w:rPr>
            </w:pPr>
            <w:r>
              <w:rPr>
                <w:rFonts w:hint="eastAsia" w:ascii="Times New Roman" w:hAnsi="Times New Roman" w:eastAsia="宋体" w:cs="微软雅黑"/>
                <w:i w:val="0"/>
                <w:iCs w:val="0"/>
                <w:color w:val="auto"/>
                <w:kern w:val="0"/>
                <w:sz w:val="21"/>
                <w:szCs w:val="21"/>
                <w:u w:val="none"/>
                <w:lang w:val="en-US" w:eastAsia="zh-CN" w:bidi="ar"/>
              </w:rPr>
              <w:t>1</w:t>
            </w:r>
          </w:p>
        </w:tc>
      </w:tr>
      <w:tr w14:paraId="1D8D922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70" w:hRule="atLeast"/>
          <w:jc w:val="center"/>
        </w:trPr>
        <w:tc>
          <w:tcPr>
            <w:tcW w:w="758" w:type="dxa"/>
            <w:tcBorders>
              <w:tl2br w:val="nil"/>
              <w:tr2bl w:val="nil"/>
            </w:tcBorders>
            <w:noWrap w:val="0"/>
            <w:vAlign w:val="center"/>
          </w:tcPr>
          <w:p w14:paraId="39B33C5F">
            <w:pPr>
              <w:keepNext w:val="0"/>
              <w:keepLines w:val="0"/>
              <w:widowControl/>
              <w:numPr>
                <w:ilvl w:val="0"/>
                <w:numId w:val="2"/>
              </w:numPr>
              <w:suppressLineNumbers w:val="0"/>
              <w:ind w:left="360" w:leftChars="0" w:hanging="360" w:firstLineChars="0"/>
              <w:jc w:val="center"/>
              <w:textAlignment w:val="center"/>
              <w:rPr>
                <w:rFonts w:hint="eastAsia" w:ascii="Times New Roman" w:hAnsi="Times New Roman" w:eastAsia="宋体" w:cs="宋体"/>
                <w:i w:val="0"/>
                <w:iCs w:val="0"/>
                <w:color w:val="auto"/>
                <w:kern w:val="0"/>
                <w:sz w:val="21"/>
                <w:szCs w:val="21"/>
                <w:u w:val="none"/>
                <w:lang w:val="en-US" w:eastAsia="zh-CN" w:bidi="ar"/>
              </w:rPr>
            </w:pPr>
          </w:p>
        </w:tc>
        <w:tc>
          <w:tcPr>
            <w:tcW w:w="2396" w:type="dxa"/>
            <w:tcBorders>
              <w:tl2br w:val="nil"/>
              <w:tr2bl w:val="nil"/>
            </w:tcBorders>
            <w:noWrap w:val="0"/>
            <w:vAlign w:val="center"/>
          </w:tcPr>
          <w:p w14:paraId="345B9E89">
            <w:pPr>
              <w:keepNext w:val="0"/>
              <w:keepLines w:val="0"/>
              <w:widowControl/>
              <w:suppressLineNumbers w:val="0"/>
              <w:jc w:val="center"/>
              <w:textAlignment w:val="bottom"/>
              <w:rPr>
                <w:rFonts w:hint="eastAsia" w:ascii="Times New Roman" w:hAnsi="Times New Roman" w:eastAsia="宋体" w:cs="微软雅黑"/>
                <w:i w:val="0"/>
                <w:iCs w:val="0"/>
                <w:color w:val="auto"/>
                <w:kern w:val="0"/>
                <w:sz w:val="21"/>
                <w:szCs w:val="21"/>
                <w:u w:val="none"/>
                <w:lang w:val="en-US" w:eastAsia="zh-CN" w:bidi="ar"/>
              </w:rPr>
            </w:pPr>
            <w:r>
              <w:rPr>
                <w:rFonts w:hint="eastAsia" w:ascii="Times New Roman" w:hAnsi="Times New Roman" w:eastAsia="宋体" w:cs="微软雅黑"/>
                <w:i w:val="0"/>
                <w:iCs w:val="0"/>
                <w:color w:val="auto"/>
                <w:kern w:val="0"/>
                <w:sz w:val="21"/>
                <w:szCs w:val="21"/>
                <w:u w:val="none"/>
                <w:lang w:val="en-US" w:eastAsia="zh-CN" w:bidi="ar"/>
              </w:rPr>
              <w:t>抛丸机</w:t>
            </w:r>
          </w:p>
        </w:tc>
        <w:tc>
          <w:tcPr>
            <w:tcW w:w="1767" w:type="dxa"/>
            <w:tcBorders>
              <w:tl2br w:val="nil"/>
              <w:tr2bl w:val="nil"/>
            </w:tcBorders>
            <w:noWrap w:val="0"/>
            <w:vAlign w:val="center"/>
          </w:tcPr>
          <w:p w14:paraId="54F97D48">
            <w:pPr>
              <w:keepNext w:val="0"/>
              <w:keepLines w:val="0"/>
              <w:widowControl/>
              <w:suppressLineNumbers w:val="0"/>
              <w:jc w:val="center"/>
              <w:textAlignment w:val="center"/>
              <w:rPr>
                <w:rFonts w:hint="default" w:ascii="Times New Roman" w:hAnsi="Times New Roman" w:eastAsia="宋体" w:cs="宋体"/>
                <w:i w:val="0"/>
                <w:iCs w:val="0"/>
                <w:color w:val="auto"/>
                <w:kern w:val="0"/>
                <w:sz w:val="21"/>
                <w:szCs w:val="21"/>
                <w:u w:val="none"/>
                <w:lang w:val="en-US" w:eastAsia="zh-CN" w:bidi="ar"/>
              </w:rPr>
            </w:pPr>
            <w:r>
              <w:rPr>
                <w:rFonts w:hint="eastAsia" w:ascii="Times New Roman" w:hAnsi="Times New Roman" w:eastAsia="宋体" w:cs="微软雅黑"/>
                <w:i w:val="0"/>
                <w:iCs w:val="0"/>
                <w:color w:val="auto"/>
                <w:kern w:val="0"/>
                <w:sz w:val="21"/>
                <w:szCs w:val="21"/>
                <w:u w:val="none"/>
                <w:lang w:val="en-US" w:eastAsia="zh-CN" w:bidi="ar"/>
              </w:rPr>
              <w:t>JL-BXG-1212</w:t>
            </w:r>
          </w:p>
        </w:tc>
        <w:tc>
          <w:tcPr>
            <w:tcW w:w="3320" w:type="dxa"/>
            <w:tcBorders>
              <w:tl2br w:val="nil"/>
              <w:tr2bl w:val="nil"/>
            </w:tcBorders>
            <w:noWrap w:val="0"/>
            <w:vAlign w:val="center"/>
          </w:tcPr>
          <w:p w14:paraId="465F37BF">
            <w:pPr>
              <w:keepNext w:val="0"/>
              <w:keepLines w:val="0"/>
              <w:widowControl/>
              <w:suppressLineNumbers w:val="0"/>
              <w:jc w:val="center"/>
              <w:textAlignment w:val="center"/>
              <w:rPr>
                <w:rFonts w:hint="eastAsia" w:ascii="Times New Roman" w:hAnsi="Times New Roman" w:eastAsia="宋体" w:cs="宋体"/>
                <w:i w:val="0"/>
                <w:iCs w:val="0"/>
                <w:color w:val="auto"/>
                <w:kern w:val="0"/>
                <w:sz w:val="21"/>
                <w:szCs w:val="21"/>
                <w:u w:val="none"/>
                <w:lang w:val="en-US" w:eastAsia="zh-CN" w:bidi="ar"/>
              </w:rPr>
            </w:pPr>
            <w:r>
              <w:rPr>
                <w:rFonts w:hint="eastAsia" w:ascii="Times New Roman" w:hAnsi="Times New Roman" w:eastAsia="宋体" w:cs="微软雅黑"/>
                <w:i w:val="0"/>
                <w:iCs w:val="0"/>
                <w:color w:val="auto"/>
                <w:kern w:val="0"/>
                <w:sz w:val="21"/>
                <w:szCs w:val="21"/>
                <w:u w:val="none"/>
                <w:lang w:val="en-US" w:eastAsia="zh-CN" w:bidi="ar"/>
              </w:rPr>
              <w:t>/</w:t>
            </w:r>
          </w:p>
        </w:tc>
        <w:tc>
          <w:tcPr>
            <w:tcW w:w="880" w:type="dxa"/>
            <w:tcBorders>
              <w:tl2br w:val="nil"/>
              <w:tr2bl w:val="nil"/>
            </w:tcBorders>
            <w:noWrap w:val="0"/>
            <w:vAlign w:val="center"/>
          </w:tcPr>
          <w:p w14:paraId="297F7317">
            <w:pPr>
              <w:keepNext w:val="0"/>
              <w:keepLines w:val="0"/>
              <w:widowControl/>
              <w:suppressLineNumbers w:val="0"/>
              <w:jc w:val="center"/>
              <w:textAlignment w:val="center"/>
              <w:rPr>
                <w:rFonts w:hint="default" w:ascii="Times New Roman" w:hAnsi="Times New Roman" w:eastAsia="宋体" w:cs="宋体"/>
                <w:i w:val="0"/>
                <w:iCs w:val="0"/>
                <w:color w:val="auto"/>
                <w:kern w:val="0"/>
                <w:sz w:val="21"/>
                <w:szCs w:val="21"/>
                <w:u w:val="none"/>
                <w:lang w:val="en-US" w:eastAsia="zh-CN" w:bidi="ar"/>
              </w:rPr>
            </w:pPr>
            <w:r>
              <w:rPr>
                <w:rFonts w:hint="eastAsia" w:ascii="Times New Roman" w:hAnsi="Times New Roman" w:eastAsia="宋体" w:cs="微软雅黑"/>
                <w:i w:val="0"/>
                <w:iCs w:val="0"/>
                <w:color w:val="auto"/>
                <w:kern w:val="0"/>
                <w:sz w:val="21"/>
                <w:szCs w:val="21"/>
                <w:u w:val="none"/>
                <w:lang w:val="en-US" w:eastAsia="zh-CN" w:bidi="ar"/>
              </w:rPr>
              <w:t>1</w:t>
            </w:r>
          </w:p>
        </w:tc>
      </w:tr>
      <w:tr w14:paraId="31BB336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70" w:hRule="atLeast"/>
          <w:jc w:val="center"/>
        </w:trPr>
        <w:tc>
          <w:tcPr>
            <w:tcW w:w="758" w:type="dxa"/>
            <w:tcBorders>
              <w:tl2br w:val="nil"/>
              <w:tr2bl w:val="nil"/>
            </w:tcBorders>
            <w:noWrap w:val="0"/>
            <w:vAlign w:val="center"/>
          </w:tcPr>
          <w:p w14:paraId="3EA7B023">
            <w:pPr>
              <w:keepNext w:val="0"/>
              <w:keepLines w:val="0"/>
              <w:widowControl/>
              <w:numPr>
                <w:ilvl w:val="0"/>
                <w:numId w:val="2"/>
              </w:numPr>
              <w:suppressLineNumbers w:val="0"/>
              <w:ind w:left="360" w:leftChars="0" w:hanging="360" w:firstLineChars="0"/>
              <w:jc w:val="center"/>
              <w:textAlignment w:val="center"/>
              <w:rPr>
                <w:rFonts w:hint="eastAsia" w:ascii="Times New Roman" w:hAnsi="Times New Roman" w:eastAsia="宋体" w:cs="宋体"/>
                <w:i w:val="0"/>
                <w:iCs w:val="0"/>
                <w:color w:val="auto"/>
                <w:kern w:val="0"/>
                <w:sz w:val="21"/>
                <w:szCs w:val="21"/>
                <w:u w:val="none"/>
                <w:lang w:val="en-US" w:eastAsia="zh-CN" w:bidi="ar"/>
              </w:rPr>
            </w:pPr>
          </w:p>
        </w:tc>
        <w:tc>
          <w:tcPr>
            <w:tcW w:w="2396" w:type="dxa"/>
            <w:tcBorders>
              <w:tl2br w:val="nil"/>
              <w:tr2bl w:val="nil"/>
            </w:tcBorders>
            <w:noWrap w:val="0"/>
            <w:vAlign w:val="center"/>
          </w:tcPr>
          <w:p w14:paraId="4F8D7520">
            <w:pPr>
              <w:keepNext w:val="0"/>
              <w:keepLines w:val="0"/>
              <w:widowControl/>
              <w:suppressLineNumbers w:val="0"/>
              <w:jc w:val="center"/>
              <w:textAlignment w:val="bottom"/>
              <w:rPr>
                <w:rFonts w:hint="eastAsia" w:ascii="Times New Roman" w:hAnsi="Times New Roman" w:eastAsia="宋体" w:cs="微软雅黑"/>
                <w:i w:val="0"/>
                <w:iCs w:val="0"/>
                <w:color w:val="auto"/>
                <w:kern w:val="0"/>
                <w:sz w:val="21"/>
                <w:szCs w:val="21"/>
                <w:u w:val="none"/>
                <w:lang w:val="en-US" w:eastAsia="zh-CN" w:bidi="ar"/>
              </w:rPr>
            </w:pPr>
            <w:r>
              <w:rPr>
                <w:rFonts w:hint="eastAsia" w:ascii="Times New Roman" w:hAnsi="Times New Roman" w:eastAsia="宋体" w:cs="微软雅黑"/>
                <w:i w:val="0"/>
                <w:iCs w:val="0"/>
                <w:color w:val="auto"/>
                <w:kern w:val="0"/>
                <w:sz w:val="21"/>
                <w:szCs w:val="21"/>
                <w:u w:val="none"/>
                <w:lang w:val="en-US" w:eastAsia="zh-CN" w:bidi="ar"/>
              </w:rPr>
              <w:t>全纤维台车式退火炉</w:t>
            </w:r>
          </w:p>
        </w:tc>
        <w:tc>
          <w:tcPr>
            <w:tcW w:w="1767" w:type="dxa"/>
            <w:tcBorders>
              <w:tl2br w:val="nil"/>
              <w:tr2bl w:val="nil"/>
            </w:tcBorders>
            <w:noWrap w:val="0"/>
            <w:vAlign w:val="center"/>
          </w:tcPr>
          <w:p w14:paraId="2832EF86">
            <w:pPr>
              <w:keepNext w:val="0"/>
              <w:keepLines w:val="0"/>
              <w:widowControl/>
              <w:suppressLineNumbers w:val="0"/>
              <w:jc w:val="center"/>
              <w:textAlignment w:val="center"/>
              <w:rPr>
                <w:rFonts w:hint="default" w:ascii="Times New Roman" w:hAnsi="Times New Roman" w:eastAsia="宋体" w:cs="宋体"/>
                <w:i w:val="0"/>
                <w:iCs w:val="0"/>
                <w:color w:val="auto"/>
                <w:kern w:val="0"/>
                <w:sz w:val="21"/>
                <w:szCs w:val="21"/>
                <w:u w:val="none"/>
                <w:lang w:val="en-US" w:eastAsia="zh-CN" w:bidi="ar"/>
              </w:rPr>
            </w:pPr>
            <w:r>
              <w:rPr>
                <w:rFonts w:hint="eastAsia" w:ascii="Times New Roman" w:hAnsi="Times New Roman" w:eastAsia="宋体" w:cs="微软雅黑"/>
                <w:i w:val="0"/>
                <w:iCs w:val="0"/>
                <w:color w:val="auto"/>
                <w:kern w:val="0"/>
                <w:sz w:val="21"/>
                <w:szCs w:val="21"/>
                <w:u w:val="none"/>
                <w:lang w:val="en-US" w:eastAsia="zh-CN" w:bidi="ar"/>
              </w:rPr>
              <w:t>R2-160KW</w:t>
            </w:r>
          </w:p>
        </w:tc>
        <w:tc>
          <w:tcPr>
            <w:tcW w:w="3320" w:type="dxa"/>
            <w:tcBorders>
              <w:tl2br w:val="nil"/>
              <w:tr2bl w:val="nil"/>
            </w:tcBorders>
            <w:noWrap w:val="0"/>
            <w:vAlign w:val="center"/>
          </w:tcPr>
          <w:p w14:paraId="4554AEB7">
            <w:pPr>
              <w:keepNext w:val="0"/>
              <w:keepLines w:val="0"/>
              <w:widowControl/>
              <w:suppressLineNumbers w:val="0"/>
              <w:jc w:val="center"/>
              <w:textAlignment w:val="center"/>
              <w:rPr>
                <w:rFonts w:hint="eastAsia" w:ascii="Times New Roman" w:hAnsi="Times New Roman" w:eastAsia="宋体" w:cs="宋体"/>
                <w:i w:val="0"/>
                <w:iCs w:val="0"/>
                <w:color w:val="auto"/>
                <w:kern w:val="0"/>
                <w:sz w:val="21"/>
                <w:szCs w:val="21"/>
                <w:u w:val="none"/>
                <w:lang w:val="en-US" w:eastAsia="zh-CN" w:bidi="ar"/>
              </w:rPr>
            </w:pPr>
            <w:r>
              <w:rPr>
                <w:rFonts w:hint="eastAsia" w:ascii="Times New Roman" w:hAnsi="Times New Roman" w:eastAsia="宋体" w:cs="微软雅黑"/>
                <w:i w:val="0"/>
                <w:iCs w:val="0"/>
                <w:color w:val="auto"/>
                <w:kern w:val="0"/>
                <w:sz w:val="21"/>
                <w:szCs w:val="21"/>
                <w:u w:val="none"/>
                <w:lang w:val="en-US" w:eastAsia="zh-CN" w:bidi="ar"/>
              </w:rPr>
              <w:t>湖州鼎峰炉业股份有限公司</w:t>
            </w:r>
          </w:p>
        </w:tc>
        <w:tc>
          <w:tcPr>
            <w:tcW w:w="880" w:type="dxa"/>
            <w:tcBorders>
              <w:tl2br w:val="nil"/>
              <w:tr2bl w:val="nil"/>
            </w:tcBorders>
            <w:noWrap w:val="0"/>
            <w:vAlign w:val="center"/>
          </w:tcPr>
          <w:p w14:paraId="30E7B5F5">
            <w:pPr>
              <w:keepNext w:val="0"/>
              <w:keepLines w:val="0"/>
              <w:widowControl/>
              <w:suppressLineNumbers w:val="0"/>
              <w:jc w:val="center"/>
              <w:textAlignment w:val="center"/>
              <w:rPr>
                <w:rFonts w:hint="default" w:ascii="Times New Roman" w:hAnsi="Times New Roman" w:eastAsia="宋体" w:cs="宋体"/>
                <w:i w:val="0"/>
                <w:iCs w:val="0"/>
                <w:color w:val="auto"/>
                <w:kern w:val="0"/>
                <w:sz w:val="21"/>
                <w:szCs w:val="21"/>
                <w:u w:val="none"/>
                <w:lang w:val="en-US" w:eastAsia="zh-CN" w:bidi="ar"/>
              </w:rPr>
            </w:pPr>
            <w:r>
              <w:rPr>
                <w:rFonts w:hint="eastAsia" w:ascii="Times New Roman" w:hAnsi="Times New Roman" w:eastAsia="宋体" w:cs="微软雅黑"/>
                <w:i w:val="0"/>
                <w:iCs w:val="0"/>
                <w:color w:val="auto"/>
                <w:kern w:val="0"/>
                <w:sz w:val="21"/>
                <w:szCs w:val="21"/>
                <w:u w:val="none"/>
                <w:lang w:val="en-US" w:eastAsia="zh-CN" w:bidi="ar"/>
              </w:rPr>
              <w:t>1</w:t>
            </w:r>
          </w:p>
        </w:tc>
      </w:tr>
      <w:tr w14:paraId="4FBFA97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70" w:hRule="atLeast"/>
          <w:jc w:val="center"/>
        </w:trPr>
        <w:tc>
          <w:tcPr>
            <w:tcW w:w="758" w:type="dxa"/>
            <w:tcBorders>
              <w:tl2br w:val="nil"/>
              <w:tr2bl w:val="nil"/>
            </w:tcBorders>
            <w:noWrap w:val="0"/>
            <w:vAlign w:val="center"/>
          </w:tcPr>
          <w:p w14:paraId="4B31C5B1">
            <w:pPr>
              <w:keepNext w:val="0"/>
              <w:keepLines w:val="0"/>
              <w:widowControl/>
              <w:numPr>
                <w:ilvl w:val="0"/>
                <w:numId w:val="2"/>
              </w:numPr>
              <w:suppressLineNumbers w:val="0"/>
              <w:ind w:left="360" w:leftChars="0" w:hanging="360" w:firstLineChars="0"/>
              <w:jc w:val="center"/>
              <w:textAlignment w:val="center"/>
              <w:rPr>
                <w:rFonts w:hint="eastAsia" w:ascii="Times New Roman" w:hAnsi="Times New Roman" w:eastAsia="宋体" w:cs="宋体"/>
                <w:i w:val="0"/>
                <w:iCs w:val="0"/>
                <w:color w:val="auto"/>
                <w:kern w:val="0"/>
                <w:sz w:val="21"/>
                <w:szCs w:val="21"/>
                <w:u w:val="none"/>
                <w:lang w:val="en-US" w:eastAsia="zh-CN" w:bidi="ar"/>
              </w:rPr>
            </w:pPr>
          </w:p>
        </w:tc>
        <w:tc>
          <w:tcPr>
            <w:tcW w:w="2396" w:type="dxa"/>
            <w:tcBorders>
              <w:tl2br w:val="nil"/>
              <w:tr2bl w:val="nil"/>
            </w:tcBorders>
            <w:noWrap w:val="0"/>
            <w:vAlign w:val="center"/>
          </w:tcPr>
          <w:p w14:paraId="5D053A5D">
            <w:pPr>
              <w:keepNext w:val="0"/>
              <w:keepLines w:val="0"/>
              <w:widowControl/>
              <w:suppressLineNumbers w:val="0"/>
              <w:jc w:val="center"/>
              <w:textAlignment w:val="bottom"/>
              <w:rPr>
                <w:rFonts w:hint="eastAsia" w:ascii="Times New Roman" w:hAnsi="Times New Roman" w:eastAsia="宋体" w:cs="微软雅黑"/>
                <w:i w:val="0"/>
                <w:iCs w:val="0"/>
                <w:color w:val="auto"/>
                <w:kern w:val="0"/>
                <w:sz w:val="21"/>
                <w:szCs w:val="21"/>
                <w:u w:val="none"/>
                <w:lang w:val="en-US" w:eastAsia="zh-CN" w:bidi="ar"/>
              </w:rPr>
            </w:pPr>
            <w:r>
              <w:rPr>
                <w:rFonts w:hint="eastAsia" w:ascii="Times New Roman" w:hAnsi="Times New Roman" w:eastAsia="宋体" w:cs="微软雅黑"/>
                <w:i w:val="0"/>
                <w:iCs w:val="0"/>
                <w:color w:val="auto"/>
                <w:kern w:val="0"/>
                <w:sz w:val="21"/>
                <w:szCs w:val="21"/>
                <w:u w:val="none"/>
                <w:lang w:val="en-US" w:eastAsia="zh-CN" w:bidi="ar"/>
              </w:rPr>
              <w:t>试压机</w:t>
            </w:r>
          </w:p>
        </w:tc>
        <w:tc>
          <w:tcPr>
            <w:tcW w:w="1767" w:type="dxa"/>
            <w:tcBorders>
              <w:tl2br w:val="nil"/>
              <w:tr2bl w:val="nil"/>
            </w:tcBorders>
            <w:noWrap w:val="0"/>
            <w:vAlign w:val="center"/>
          </w:tcPr>
          <w:p w14:paraId="306496AE">
            <w:pPr>
              <w:keepNext w:val="0"/>
              <w:keepLines w:val="0"/>
              <w:widowControl/>
              <w:suppressLineNumbers w:val="0"/>
              <w:jc w:val="center"/>
              <w:textAlignment w:val="bottom"/>
              <w:rPr>
                <w:rFonts w:hint="default" w:ascii="Times New Roman" w:hAnsi="Times New Roman" w:eastAsia="宋体" w:cs="宋体"/>
                <w:i w:val="0"/>
                <w:iCs w:val="0"/>
                <w:color w:val="auto"/>
                <w:kern w:val="0"/>
                <w:sz w:val="21"/>
                <w:szCs w:val="21"/>
                <w:u w:val="none"/>
                <w:lang w:val="en-US" w:eastAsia="zh-CN" w:bidi="ar"/>
              </w:rPr>
            </w:pPr>
            <w:r>
              <w:rPr>
                <w:rFonts w:hint="eastAsia" w:ascii="Times New Roman" w:hAnsi="Times New Roman" w:eastAsia="宋体" w:cs="微软雅黑"/>
                <w:i w:val="0"/>
                <w:iCs w:val="0"/>
                <w:color w:val="auto"/>
                <w:kern w:val="0"/>
                <w:sz w:val="21"/>
                <w:szCs w:val="21"/>
                <w:u w:val="none"/>
                <w:lang w:val="en-US" w:eastAsia="zh-CN" w:bidi="ar"/>
              </w:rPr>
              <w:t>DN50-100</w:t>
            </w:r>
          </w:p>
        </w:tc>
        <w:tc>
          <w:tcPr>
            <w:tcW w:w="3320" w:type="dxa"/>
            <w:tcBorders>
              <w:tl2br w:val="nil"/>
              <w:tr2bl w:val="nil"/>
            </w:tcBorders>
            <w:noWrap w:val="0"/>
            <w:vAlign w:val="center"/>
          </w:tcPr>
          <w:p w14:paraId="16C9C4DB">
            <w:pPr>
              <w:keepNext w:val="0"/>
              <w:keepLines w:val="0"/>
              <w:widowControl/>
              <w:suppressLineNumbers w:val="0"/>
              <w:jc w:val="center"/>
              <w:textAlignment w:val="center"/>
              <w:rPr>
                <w:rFonts w:hint="eastAsia" w:ascii="Times New Roman" w:hAnsi="Times New Roman" w:eastAsia="宋体" w:cs="宋体"/>
                <w:i w:val="0"/>
                <w:iCs w:val="0"/>
                <w:color w:val="auto"/>
                <w:kern w:val="0"/>
                <w:sz w:val="21"/>
                <w:szCs w:val="21"/>
                <w:u w:val="none"/>
                <w:lang w:val="en-US" w:eastAsia="zh-CN" w:bidi="ar"/>
              </w:rPr>
            </w:pPr>
            <w:r>
              <w:rPr>
                <w:rFonts w:hint="eastAsia" w:ascii="Times New Roman" w:hAnsi="Times New Roman" w:eastAsia="宋体" w:cs="微软雅黑"/>
                <w:i w:val="0"/>
                <w:iCs w:val="0"/>
                <w:color w:val="auto"/>
                <w:kern w:val="0"/>
                <w:sz w:val="21"/>
                <w:szCs w:val="21"/>
                <w:u w:val="none"/>
                <w:lang w:val="en-US" w:eastAsia="zh-CN" w:bidi="ar"/>
              </w:rPr>
              <w:t>温州聚鑫试压泵设备有限公司</w:t>
            </w:r>
          </w:p>
        </w:tc>
        <w:tc>
          <w:tcPr>
            <w:tcW w:w="880" w:type="dxa"/>
            <w:tcBorders>
              <w:tl2br w:val="nil"/>
              <w:tr2bl w:val="nil"/>
            </w:tcBorders>
            <w:noWrap w:val="0"/>
            <w:vAlign w:val="center"/>
          </w:tcPr>
          <w:p w14:paraId="35EFA3B7">
            <w:pPr>
              <w:keepNext w:val="0"/>
              <w:keepLines w:val="0"/>
              <w:widowControl/>
              <w:suppressLineNumbers w:val="0"/>
              <w:jc w:val="center"/>
              <w:textAlignment w:val="bottom"/>
              <w:rPr>
                <w:rFonts w:hint="default" w:ascii="Times New Roman" w:hAnsi="Times New Roman" w:eastAsia="宋体" w:cs="宋体"/>
                <w:i w:val="0"/>
                <w:iCs w:val="0"/>
                <w:color w:val="auto"/>
                <w:kern w:val="0"/>
                <w:sz w:val="21"/>
                <w:szCs w:val="21"/>
                <w:u w:val="none"/>
                <w:lang w:val="en-US" w:eastAsia="zh-CN" w:bidi="ar"/>
              </w:rPr>
            </w:pPr>
            <w:r>
              <w:rPr>
                <w:rFonts w:hint="eastAsia" w:ascii="Times New Roman" w:hAnsi="Times New Roman" w:eastAsia="宋体" w:cs="微软雅黑"/>
                <w:i w:val="0"/>
                <w:iCs w:val="0"/>
                <w:color w:val="auto"/>
                <w:kern w:val="0"/>
                <w:sz w:val="21"/>
                <w:szCs w:val="21"/>
                <w:u w:val="none"/>
                <w:lang w:val="en-US" w:eastAsia="zh-CN" w:bidi="ar"/>
              </w:rPr>
              <w:t>4</w:t>
            </w:r>
          </w:p>
        </w:tc>
      </w:tr>
      <w:tr w14:paraId="4506626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70" w:hRule="atLeast"/>
          <w:jc w:val="center"/>
        </w:trPr>
        <w:tc>
          <w:tcPr>
            <w:tcW w:w="758" w:type="dxa"/>
            <w:tcBorders>
              <w:tl2br w:val="nil"/>
              <w:tr2bl w:val="nil"/>
            </w:tcBorders>
            <w:noWrap w:val="0"/>
            <w:vAlign w:val="center"/>
          </w:tcPr>
          <w:p w14:paraId="486FFD03">
            <w:pPr>
              <w:keepNext w:val="0"/>
              <w:keepLines w:val="0"/>
              <w:widowControl/>
              <w:numPr>
                <w:ilvl w:val="0"/>
                <w:numId w:val="2"/>
              </w:numPr>
              <w:suppressLineNumbers w:val="0"/>
              <w:ind w:left="360" w:leftChars="0" w:hanging="360" w:firstLineChars="0"/>
              <w:jc w:val="center"/>
              <w:textAlignment w:val="center"/>
              <w:rPr>
                <w:rFonts w:hint="eastAsia" w:ascii="Times New Roman" w:hAnsi="Times New Roman" w:eastAsia="宋体" w:cs="宋体"/>
                <w:i w:val="0"/>
                <w:iCs w:val="0"/>
                <w:color w:val="auto"/>
                <w:kern w:val="0"/>
                <w:sz w:val="21"/>
                <w:szCs w:val="21"/>
                <w:u w:val="none"/>
                <w:lang w:val="en-US" w:eastAsia="zh-CN" w:bidi="ar"/>
              </w:rPr>
            </w:pPr>
          </w:p>
        </w:tc>
        <w:tc>
          <w:tcPr>
            <w:tcW w:w="2396" w:type="dxa"/>
            <w:tcBorders>
              <w:tl2br w:val="nil"/>
              <w:tr2bl w:val="nil"/>
            </w:tcBorders>
            <w:noWrap w:val="0"/>
            <w:vAlign w:val="center"/>
          </w:tcPr>
          <w:p w14:paraId="15599372">
            <w:pPr>
              <w:keepNext w:val="0"/>
              <w:keepLines w:val="0"/>
              <w:widowControl/>
              <w:suppressLineNumbers w:val="0"/>
              <w:jc w:val="center"/>
              <w:textAlignment w:val="bottom"/>
              <w:rPr>
                <w:rFonts w:hint="eastAsia" w:ascii="Times New Roman" w:hAnsi="Times New Roman" w:eastAsia="宋体" w:cs="微软雅黑"/>
                <w:i w:val="0"/>
                <w:iCs w:val="0"/>
                <w:color w:val="auto"/>
                <w:kern w:val="0"/>
                <w:sz w:val="21"/>
                <w:szCs w:val="21"/>
                <w:u w:val="none"/>
                <w:lang w:val="en-US" w:eastAsia="zh-CN" w:bidi="ar"/>
              </w:rPr>
            </w:pPr>
            <w:r>
              <w:rPr>
                <w:rFonts w:hint="eastAsia" w:ascii="Times New Roman" w:hAnsi="Times New Roman" w:eastAsia="宋体" w:cs="微软雅黑"/>
                <w:i w:val="0"/>
                <w:iCs w:val="0"/>
                <w:color w:val="auto"/>
                <w:kern w:val="0"/>
                <w:sz w:val="21"/>
                <w:szCs w:val="21"/>
                <w:u w:val="none"/>
                <w:lang w:val="en-US" w:eastAsia="zh-CN" w:bidi="ar"/>
              </w:rPr>
              <w:t>试压机</w:t>
            </w:r>
          </w:p>
        </w:tc>
        <w:tc>
          <w:tcPr>
            <w:tcW w:w="1767" w:type="dxa"/>
            <w:tcBorders>
              <w:tl2br w:val="nil"/>
              <w:tr2bl w:val="nil"/>
            </w:tcBorders>
            <w:noWrap w:val="0"/>
            <w:vAlign w:val="center"/>
          </w:tcPr>
          <w:p w14:paraId="63E8B4D7">
            <w:pPr>
              <w:keepNext w:val="0"/>
              <w:keepLines w:val="0"/>
              <w:widowControl/>
              <w:suppressLineNumbers w:val="0"/>
              <w:jc w:val="center"/>
              <w:textAlignment w:val="bottom"/>
              <w:rPr>
                <w:rFonts w:hint="default" w:ascii="Times New Roman" w:hAnsi="Times New Roman" w:eastAsia="宋体" w:cs="宋体"/>
                <w:i w:val="0"/>
                <w:iCs w:val="0"/>
                <w:color w:val="auto"/>
                <w:kern w:val="0"/>
                <w:sz w:val="21"/>
                <w:szCs w:val="21"/>
                <w:u w:val="none"/>
                <w:lang w:val="en-US" w:eastAsia="zh-CN" w:bidi="ar"/>
              </w:rPr>
            </w:pPr>
            <w:r>
              <w:rPr>
                <w:rFonts w:hint="eastAsia" w:ascii="Times New Roman" w:hAnsi="Times New Roman" w:eastAsia="宋体" w:cs="微软雅黑"/>
                <w:i w:val="0"/>
                <w:iCs w:val="0"/>
                <w:color w:val="auto"/>
                <w:kern w:val="0"/>
                <w:sz w:val="21"/>
                <w:szCs w:val="21"/>
                <w:u w:val="none"/>
                <w:lang w:val="en-US" w:eastAsia="zh-CN" w:bidi="ar"/>
              </w:rPr>
              <w:t>YF150</w:t>
            </w:r>
          </w:p>
        </w:tc>
        <w:tc>
          <w:tcPr>
            <w:tcW w:w="3320" w:type="dxa"/>
            <w:tcBorders>
              <w:tl2br w:val="nil"/>
              <w:tr2bl w:val="nil"/>
            </w:tcBorders>
            <w:noWrap w:val="0"/>
            <w:vAlign w:val="center"/>
          </w:tcPr>
          <w:p w14:paraId="7DEFD63E">
            <w:pPr>
              <w:keepNext w:val="0"/>
              <w:keepLines w:val="0"/>
              <w:widowControl/>
              <w:suppressLineNumbers w:val="0"/>
              <w:jc w:val="center"/>
              <w:textAlignment w:val="center"/>
              <w:rPr>
                <w:rFonts w:hint="eastAsia" w:ascii="Times New Roman" w:hAnsi="Times New Roman" w:eastAsia="宋体" w:cs="宋体"/>
                <w:i w:val="0"/>
                <w:iCs w:val="0"/>
                <w:color w:val="auto"/>
                <w:kern w:val="0"/>
                <w:sz w:val="21"/>
                <w:szCs w:val="21"/>
                <w:u w:val="none"/>
                <w:lang w:val="en-US" w:eastAsia="zh-CN" w:bidi="ar"/>
              </w:rPr>
            </w:pPr>
            <w:r>
              <w:rPr>
                <w:rFonts w:hint="eastAsia" w:ascii="Times New Roman" w:hAnsi="Times New Roman" w:eastAsia="宋体" w:cs="微软雅黑"/>
                <w:i w:val="0"/>
                <w:iCs w:val="0"/>
                <w:color w:val="auto"/>
                <w:kern w:val="0"/>
                <w:sz w:val="21"/>
                <w:szCs w:val="21"/>
                <w:u w:val="none"/>
                <w:lang w:val="en-US" w:eastAsia="zh-CN" w:bidi="ar"/>
              </w:rPr>
              <w:t>温州聚鑫试压泵设备有限公司</w:t>
            </w:r>
          </w:p>
        </w:tc>
        <w:tc>
          <w:tcPr>
            <w:tcW w:w="880" w:type="dxa"/>
            <w:tcBorders>
              <w:tl2br w:val="nil"/>
              <w:tr2bl w:val="nil"/>
            </w:tcBorders>
            <w:noWrap w:val="0"/>
            <w:vAlign w:val="center"/>
          </w:tcPr>
          <w:p w14:paraId="0D1D3506">
            <w:pPr>
              <w:keepNext w:val="0"/>
              <w:keepLines w:val="0"/>
              <w:widowControl/>
              <w:suppressLineNumbers w:val="0"/>
              <w:jc w:val="center"/>
              <w:textAlignment w:val="bottom"/>
              <w:rPr>
                <w:rFonts w:hint="default" w:ascii="Times New Roman" w:hAnsi="Times New Roman" w:eastAsia="宋体" w:cs="宋体"/>
                <w:i w:val="0"/>
                <w:iCs w:val="0"/>
                <w:color w:val="auto"/>
                <w:kern w:val="0"/>
                <w:sz w:val="21"/>
                <w:szCs w:val="21"/>
                <w:u w:val="none"/>
                <w:lang w:val="en-US" w:eastAsia="zh-CN" w:bidi="ar"/>
              </w:rPr>
            </w:pPr>
            <w:r>
              <w:rPr>
                <w:rFonts w:hint="eastAsia" w:ascii="Times New Roman" w:hAnsi="Times New Roman" w:eastAsia="宋体" w:cs="微软雅黑"/>
                <w:i w:val="0"/>
                <w:iCs w:val="0"/>
                <w:color w:val="auto"/>
                <w:kern w:val="0"/>
                <w:sz w:val="21"/>
                <w:szCs w:val="21"/>
                <w:u w:val="none"/>
                <w:lang w:val="en-US" w:eastAsia="zh-CN" w:bidi="ar"/>
              </w:rPr>
              <w:t>1</w:t>
            </w:r>
          </w:p>
        </w:tc>
      </w:tr>
      <w:tr w14:paraId="09C9D95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70" w:hRule="atLeast"/>
          <w:jc w:val="center"/>
        </w:trPr>
        <w:tc>
          <w:tcPr>
            <w:tcW w:w="758" w:type="dxa"/>
            <w:tcBorders>
              <w:tl2br w:val="nil"/>
              <w:tr2bl w:val="nil"/>
            </w:tcBorders>
            <w:noWrap w:val="0"/>
            <w:vAlign w:val="center"/>
          </w:tcPr>
          <w:p w14:paraId="574594C1">
            <w:pPr>
              <w:keepNext w:val="0"/>
              <w:keepLines w:val="0"/>
              <w:widowControl/>
              <w:numPr>
                <w:ilvl w:val="0"/>
                <w:numId w:val="2"/>
              </w:numPr>
              <w:suppressLineNumbers w:val="0"/>
              <w:ind w:left="360" w:leftChars="0" w:hanging="360" w:firstLineChars="0"/>
              <w:jc w:val="center"/>
              <w:textAlignment w:val="center"/>
              <w:rPr>
                <w:rFonts w:hint="eastAsia" w:ascii="Times New Roman" w:hAnsi="Times New Roman" w:eastAsia="宋体" w:cs="宋体"/>
                <w:i w:val="0"/>
                <w:iCs w:val="0"/>
                <w:color w:val="auto"/>
                <w:kern w:val="0"/>
                <w:sz w:val="21"/>
                <w:szCs w:val="21"/>
                <w:u w:val="none"/>
                <w:lang w:val="en-US" w:eastAsia="zh-CN" w:bidi="ar"/>
              </w:rPr>
            </w:pPr>
          </w:p>
        </w:tc>
        <w:tc>
          <w:tcPr>
            <w:tcW w:w="2396" w:type="dxa"/>
            <w:tcBorders>
              <w:tl2br w:val="nil"/>
              <w:tr2bl w:val="nil"/>
            </w:tcBorders>
            <w:noWrap w:val="0"/>
            <w:vAlign w:val="center"/>
          </w:tcPr>
          <w:p w14:paraId="0DCA3A71">
            <w:pPr>
              <w:keepNext w:val="0"/>
              <w:keepLines w:val="0"/>
              <w:widowControl/>
              <w:suppressLineNumbers w:val="0"/>
              <w:jc w:val="center"/>
              <w:textAlignment w:val="bottom"/>
              <w:rPr>
                <w:rFonts w:hint="eastAsia" w:ascii="Times New Roman" w:hAnsi="Times New Roman" w:eastAsia="宋体" w:cs="微软雅黑"/>
                <w:i w:val="0"/>
                <w:iCs w:val="0"/>
                <w:color w:val="auto"/>
                <w:kern w:val="0"/>
                <w:sz w:val="21"/>
                <w:szCs w:val="21"/>
                <w:u w:val="none"/>
                <w:lang w:val="en-US" w:eastAsia="zh-CN" w:bidi="ar"/>
              </w:rPr>
            </w:pPr>
            <w:r>
              <w:rPr>
                <w:rFonts w:hint="eastAsia" w:ascii="Times New Roman" w:hAnsi="Times New Roman" w:eastAsia="宋体" w:cs="微软雅黑"/>
                <w:i w:val="0"/>
                <w:iCs w:val="0"/>
                <w:color w:val="auto"/>
                <w:kern w:val="0"/>
                <w:sz w:val="21"/>
                <w:szCs w:val="21"/>
                <w:u w:val="none"/>
                <w:lang w:val="en-US" w:eastAsia="zh-CN" w:bidi="ar"/>
              </w:rPr>
              <w:t>试压机</w:t>
            </w:r>
          </w:p>
        </w:tc>
        <w:tc>
          <w:tcPr>
            <w:tcW w:w="1767" w:type="dxa"/>
            <w:tcBorders>
              <w:tl2br w:val="nil"/>
              <w:tr2bl w:val="nil"/>
            </w:tcBorders>
            <w:noWrap w:val="0"/>
            <w:vAlign w:val="center"/>
          </w:tcPr>
          <w:p w14:paraId="68A9D464">
            <w:pPr>
              <w:keepNext w:val="0"/>
              <w:keepLines w:val="0"/>
              <w:widowControl/>
              <w:suppressLineNumbers w:val="0"/>
              <w:jc w:val="center"/>
              <w:textAlignment w:val="bottom"/>
              <w:rPr>
                <w:rFonts w:hint="default" w:ascii="Times New Roman" w:hAnsi="Times New Roman" w:eastAsia="宋体" w:cs="宋体"/>
                <w:i w:val="0"/>
                <w:iCs w:val="0"/>
                <w:color w:val="auto"/>
                <w:kern w:val="0"/>
                <w:sz w:val="21"/>
                <w:szCs w:val="21"/>
                <w:u w:val="none"/>
                <w:lang w:val="en-US" w:eastAsia="zh-CN" w:bidi="ar"/>
              </w:rPr>
            </w:pPr>
            <w:r>
              <w:rPr>
                <w:rFonts w:hint="eastAsia" w:ascii="Times New Roman" w:hAnsi="Times New Roman" w:eastAsia="宋体" w:cs="微软雅黑"/>
                <w:i w:val="0"/>
                <w:iCs w:val="0"/>
                <w:color w:val="auto"/>
                <w:kern w:val="0"/>
                <w:sz w:val="21"/>
                <w:szCs w:val="21"/>
                <w:u w:val="none"/>
                <w:lang w:val="en-US" w:eastAsia="zh-CN" w:bidi="ar"/>
              </w:rPr>
              <w:t>YF300</w:t>
            </w:r>
          </w:p>
        </w:tc>
        <w:tc>
          <w:tcPr>
            <w:tcW w:w="3320" w:type="dxa"/>
            <w:tcBorders>
              <w:tl2br w:val="nil"/>
              <w:tr2bl w:val="nil"/>
            </w:tcBorders>
            <w:noWrap w:val="0"/>
            <w:vAlign w:val="center"/>
          </w:tcPr>
          <w:p w14:paraId="7189D97E">
            <w:pPr>
              <w:keepNext w:val="0"/>
              <w:keepLines w:val="0"/>
              <w:widowControl/>
              <w:suppressLineNumbers w:val="0"/>
              <w:jc w:val="center"/>
              <w:textAlignment w:val="center"/>
              <w:rPr>
                <w:rFonts w:hint="eastAsia" w:ascii="Times New Roman" w:hAnsi="Times New Roman" w:eastAsia="宋体" w:cs="宋体"/>
                <w:i w:val="0"/>
                <w:iCs w:val="0"/>
                <w:color w:val="auto"/>
                <w:kern w:val="0"/>
                <w:sz w:val="21"/>
                <w:szCs w:val="21"/>
                <w:u w:val="none"/>
                <w:lang w:val="en-US" w:eastAsia="zh-CN" w:bidi="ar"/>
              </w:rPr>
            </w:pPr>
            <w:r>
              <w:rPr>
                <w:rFonts w:hint="eastAsia" w:ascii="Times New Roman" w:hAnsi="Times New Roman" w:eastAsia="宋体" w:cs="微软雅黑"/>
                <w:i w:val="0"/>
                <w:iCs w:val="0"/>
                <w:color w:val="auto"/>
                <w:kern w:val="0"/>
                <w:sz w:val="21"/>
                <w:szCs w:val="21"/>
                <w:u w:val="none"/>
                <w:lang w:val="en-US" w:eastAsia="zh-CN" w:bidi="ar"/>
              </w:rPr>
              <w:t>温州聚鑫试压泵设备有限公司</w:t>
            </w:r>
          </w:p>
        </w:tc>
        <w:tc>
          <w:tcPr>
            <w:tcW w:w="880" w:type="dxa"/>
            <w:tcBorders>
              <w:tl2br w:val="nil"/>
              <w:tr2bl w:val="nil"/>
            </w:tcBorders>
            <w:noWrap w:val="0"/>
            <w:vAlign w:val="center"/>
          </w:tcPr>
          <w:p w14:paraId="6C18382F">
            <w:pPr>
              <w:keepNext w:val="0"/>
              <w:keepLines w:val="0"/>
              <w:widowControl/>
              <w:suppressLineNumbers w:val="0"/>
              <w:jc w:val="center"/>
              <w:textAlignment w:val="bottom"/>
              <w:rPr>
                <w:rFonts w:hint="default" w:ascii="Times New Roman" w:hAnsi="Times New Roman" w:eastAsia="宋体" w:cs="宋体"/>
                <w:i w:val="0"/>
                <w:iCs w:val="0"/>
                <w:color w:val="auto"/>
                <w:kern w:val="0"/>
                <w:sz w:val="21"/>
                <w:szCs w:val="21"/>
                <w:u w:val="none"/>
                <w:lang w:val="en-US" w:eastAsia="zh-CN" w:bidi="ar"/>
              </w:rPr>
            </w:pPr>
            <w:r>
              <w:rPr>
                <w:rFonts w:hint="eastAsia" w:ascii="Times New Roman" w:hAnsi="Times New Roman" w:eastAsia="宋体" w:cs="微软雅黑"/>
                <w:i w:val="0"/>
                <w:iCs w:val="0"/>
                <w:color w:val="auto"/>
                <w:kern w:val="0"/>
                <w:sz w:val="21"/>
                <w:szCs w:val="21"/>
                <w:u w:val="none"/>
                <w:lang w:val="en-US" w:eastAsia="zh-CN" w:bidi="ar"/>
              </w:rPr>
              <w:t>2</w:t>
            </w:r>
          </w:p>
        </w:tc>
      </w:tr>
      <w:tr w14:paraId="2B8268F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70" w:hRule="atLeast"/>
          <w:jc w:val="center"/>
        </w:trPr>
        <w:tc>
          <w:tcPr>
            <w:tcW w:w="758" w:type="dxa"/>
            <w:tcBorders>
              <w:tl2br w:val="nil"/>
              <w:tr2bl w:val="nil"/>
            </w:tcBorders>
            <w:noWrap w:val="0"/>
            <w:vAlign w:val="center"/>
          </w:tcPr>
          <w:p w14:paraId="42DE6FE9">
            <w:pPr>
              <w:keepNext w:val="0"/>
              <w:keepLines w:val="0"/>
              <w:widowControl/>
              <w:numPr>
                <w:ilvl w:val="0"/>
                <w:numId w:val="2"/>
              </w:numPr>
              <w:suppressLineNumbers w:val="0"/>
              <w:ind w:left="360" w:leftChars="0" w:hanging="360" w:firstLineChars="0"/>
              <w:jc w:val="center"/>
              <w:textAlignment w:val="center"/>
              <w:rPr>
                <w:rFonts w:hint="eastAsia" w:ascii="Times New Roman" w:hAnsi="Times New Roman" w:eastAsia="宋体" w:cs="宋体"/>
                <w:i w:val="0"/>
                <w:iCs w:val="0"/>
                <w:color w:val="auto"/>
                <w:kern w:val="0"/>
                <w:sz w:val="21"/>
                <w:szCs w:val="21"/>
                <w:u w:val="none"/>
                <w:lang w:val="en-US" w:eastAsia="zh-CN" w:bidi="ar"/>
              </w:rPr>
            </w:pPr>
          </w:p>
        </w:tc>
        <w:tc>
          <w:tcPr>
            <w:tcW w:w="2396" w:type="dxa"/>
            <w:tcBorders>
              <w:tl2br w:val="nil"/>
              <w:tr2bl w:val="nil"/>
            </w:tcBorders>
            <w:noWrap w:val="0"/>
            <w:vAlign w:val="center"/>
          </w:tcPr>
          <w:p w14:paraId="522ADD16">
            <w:pPr>
              <w:keepNext w:val="0"/>
              <w:keepLines w:val="0"/>
              <w:widowControl/>
              <w:suppressLineNumbers w:val="0"/>
              <w:jc w:val="center"/>
              <w:textAlignment w:val="bottom"/>
              <w:rPr>
                <w:rFonts w:hint="eastAsia" w:ascii="Times New Roman" w:hAnsi="Times New Roman" w:eastAsia="宋体" w:cs="微软雅黑"/>
                <w:i w:val="0"/>
                <w:iCs w:val="0"/>
                <w:color w:val="auto"/>
                <w:kern w:val="0"/>
                <w:sz w:val="21"/>
                <w:szCs w:val="21"/>
                <w:u w:val="none"/>
                <w:lang w:val="en-US" w:eastAsia="zh-CN" w:bidi="ar"/>
              </w:rPr>
            </w:pPr>
            <w:r>
              <w:rPr>
                <w:rFonts w:hint="eastAsia" w:ascii="Times New Roman" w:hAnsi="Times New Roman" w:eastAsia="宋体" w:cs="微软雅黑"/>
                <w:i w:val="0"/>
                <w:iCs w:val="0"/>
                <w:color w:val="auto"/>
                <w:kern w:val="0"/>
                <w:sz w:val="21"/>
                <w:szCs w:val="21"/>
                <w:u w:val="none"/>
                <w:lang w:val="en-US" w:eastAsia="zh-CN" w:bidi="ar"/>
              </w:rPr>
              <w:t>试压机</w:t>
            </w:r>
          </w:p>
        </w:tc>
        <w:tc>
          <w:tcPr>
            <w:tcW w:w="1767" w:type="dxa"/>
            <w:tcBorders>
              <w:tl2br w:val="nil"/>
              <w:tr2bl w:val="nil"/>
            </w:tcBorders>
            <w:noWrap w:val="0"/>
            <w:vAlign w:val="center"/>
          </w:tcPr>
          <w:p w14:paraId="58CE4784">
            <w:pPr>
              <w:keepNext w:val="0"/>
              <w:keepLines w:val="0"/>
              <w:widowControl/>
              <w:suppressLineNumbers w:val="0"/>
              <w:jc w:val="center"/>
              <w:textAlignment w:val="bottom"/>
              <w:rPr>
                <w:rFonts w:hint="default" w:ascii="Times New Roman" w:hAnsi="Times New Roman" w:eastAsia="宋体" w:cs="宋体"/>
                <w:i w:val="0"/>
                <w:iCs w:val="0"/>
                <w:color w:val="auto"/>
                <w:kern w:val="0"/>
                <w:sz w:val="21"/>
                <w:szCs w:val="21"/>
                <w:u w:val="none"/>
                <w:lang w:val="en-US" w:eastAsia="zh-CN" w:bidi="ar"/>
              </w:rPr>
            </w:pPr>
            <w:r>
              <w:rPr>
                <w:rFonts w:hint="eastAsia" w:ascii="Times New Roman" w:hAnsi="Times New Roman" w:eastAsia="宋体" w:cs="微软雅黑"/>
                <w:i w:val="0"/>
                <w:iCs w:val="0"/>
                <w:color w:val="auto"/>
                <w:kern w:val="0"/>
                <w:sz w:val="21"/>
                <w:szCs w:val="21"/>
                <w:u w:val="none"/>
                <w:lang w:val="en-US" w:eastAsia="zh-CN" w:bidi="ar"/>
              </w:rPr>
              <w:t>YF600</w:t>
            </w:r>
          </w:p>
        </w:tc>
        <w:tc>
          <w:tcPr>
            <w:tcW w:w="3320" w:type="dxa"/>
            <w:tcBorders>
              <w:tl2br w:val="nil"/>
              <w:tr2bl w:val="nil"/>
            </w:tcBorders>
            <w:noWrap w:val="0"/>
            <w:vAlign w:val="center"/>
          </w:tcPr>
          <w:p w14:paraId="1E66B7DA">
            <w:pPr>
              <w:keepNext w:val="0"/>
              <w:keepLines w:val="0"/>
              <w:widowControl/>
              <w:suppressLineNumbers w:val="0"/>
              <w:jc w:val="center"/>
              <w:textAlignment w:val="center"/>
              <w:rPr>
                <w:rFonts w:hint="eastAsia" w:ascii="Times New Roman" w:hAnsi="Times New Roman" w:eastAsia="宋体" w:cs="宋体"/>
                <w:i w:val="0"/>
                <w:iCs w:val="0"/>
                <w:color w:val="auto"/>
                <w:kern w:val="0"/>
                <w:sz w:val="21"/>
                <w:szCs w:val="21"/>
                <w:u w:val="none"/>
                <w:lang w:val="en-US" w:eastAsia="zh-CN" w:bidi="ar"/>
              </w:rPr>
            </w:pPr>
            <w:r>
              <w:rPr>
                <w:rFonts w:hint="eastAsia" w:ascii="Times New Roman" w:hAnsi="Times New Roman" w:eastAsia="宋体" w:cs="微软雅黑"/>
                <w:i w:val="0"/>
                <w:iCs w:val="0"/>
                <w:color w:val="auto"/>
                <w:kern w:val="0"/>
                <w:sz w:val="21"/>
                <w:szCs w:val="21"/>
                <w:u w:val="none"/>
                <w:lang w:val="en-US" w:eastAsia="zh-CN" w:bidi="ar"/>
              </w:rPr>
              <w:t>温州聚鑫试压泵设备有限公司</w:t>
            </w:r>
          </w:p>
        </w:tc>
        <w:tc>
          <w:tcPr>
            <w:tcW w:w="880" w:type="dxa"/>
            <w:tcBorders>
              <w:tl2br w:val="nil"/>
              <w:tr2bl w:val="nil"/>
            </w:tcBorders>
            <w:noWrap w:val="0"/>
            <w:vAlign w:val="center"/>
          </w:tcPr>
          <w:p w14:paraId="1C229AE8">
            <w:pPr>
              <w:keepNext w:val="0"/>
              <w:keepLines w:val="0"/>
              <w:widowControl/>
              <w:suppressLineNumbers w:val="0"/>
              <w:jc w:val="center"/>
              <w:textAlignment w:val="bottom"/>
              <w:rPr>
                <w:rFonts w:hint="default" w:ascii="Times New Roman" w:hAnsi="Times New Roman" w:eastAsia="宋体" w:cs="宋体"/>
                <w:i w:val="0"/>
                <w:iCs w:val="0"/>
                <w:color w:val="auto"/>
                <w:kern w:val="0"/>
                <w:sz w:val="21"/>
                <w:szCs w:val="21"/>
                <w:u w:val="none"/>
                <w:lang w:val="en-US" w:eastAsia="zh-CN" w:bidi="ar"/>
              </w:rPr>
            </w:pPr>
            <w:r>
              <w:rPr>
                <w:rFonts w:hint="eastAsia" w:ascii="Times New Roman" w:hAnsi="Times New Roman" w:eastAsia="宋体" w:cs="微软雅黑"/>
                <w:i w:val="0"/>
                <w:iCs w:val="0"/>
                <w:color w:val="auto"/>
                <w:kern w:val="0"/>
                <w:sz w:val="21"/>
                <w:szCs w:val="21"/>
                <w:u w:val="none"/>
                <w:lang w:val="en-US" w:eastAsia="zh-CN" w:bidi="ar"/>
              </w:rPr>
              <w:t>1</w:t>
            </w:r>
          </w:p>
        </w:tc>
      </w:tr>
      <w:tr w14:paraId="235B591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70" w:hRule="atLeast"/>
          <w:jc w:val="center"/>
        </w:trPr>
        <w:tc>
          <w:tcPr>
            <w:tcW w:w="758" w:type="dxa"/>
            <w:tcBorders>
              <w:tl2br w:val="nil"/>
              <w:tr2bl w:val="nil"/>
            </w:tcBorders>
            <w:noWrap w:val="0"/>
            <w:vAlign w:val="center"/>
          </w:tcPr>
          <w:p w14:paraId="3990EDBC">
            <w:pPr>
              <w:keepNext w:val="0"/>
              <w:keepLines w:val="0"/>
              <w:widowControl/>
              <w:numPr>
                <w:ilvl w:val="0"/>
                <w:numId w:val="2"/>
              </w:numPr>
              <w:suppressLineNumbers w:val="0"/>
              <w:ind w:left="360" w:leftChars="0" w:hanging="360" w:firstLineChars="0"/>
              <w:jc w:val="center"/>
              <w:textAlignment w:val="center"/>
              <w:rPr>
                <w:rFonts w:hint="eastAsia" w:ascii="Times New Roman" w:hAnsi="Times New Roman" w:eastAsia="宋体" w:cs="宋体"/>
                <w:i w:val="0"/>
                <w:iCs w:val="0"/>
                <w:color w:val="auto"/>
                <w:kern w:val="0"/>
                <w:sz w:val="21"/>
                <w:szCs w:val="21"/>
                <w:u w:val="none"/>
                <w:lang w:val="en-US" w:eastAsia="zh-CN" w:bidi="ar"/>
              </w:rPr>
            </w:pPr>
          </w:p>
        </w:tc>
        <w:tc>
          <w:tcPr>
            <w:tcW w:w="2396" w:type="dxa"/>
            <w:tcBorders>
              <w:tl2br w:val="nil"/>
              <w:tr2bl w:val="nil"/>
            </w:tcBorders>
            <w:noWrap w:val="0"/>
            <w:vAlign w:val="center"/>
          </w:tcPr>
          <w:p w14:paraId="23D2ED65">
            <w:pPr>
              <w:keepNext w:val="0"/>
              <w:keepLines w:val="0"/>
              <w:widowControl/>
              <w:suppressLineNumbers w:val="0"/>
              <w:jc w:val="center"/>
              <w:textAlignment w:val="bottom"/>
              <w:rPr>
                <w:rFonts w:hint="eastAsia" w:ascii="Times New Roman" w:hAnsi="Times New Roman" w:eastAsia="宋体" w:cs="宋体"/>
                <w:i w:val="0"/>
                <w:iCs w:val="0"/>
                <w:color w:val="auto"/>
                <w:kern w:val="0"/>
                <w:sz w:val="21"/>
                <w:szCs w:val="21"/>
                <w:u w:val="none"/>
                <w:lang w:val="en-US" w:eastAsia="zh-CN" w:bidi="ar"/>
              </w:rPr>
            </w:pPr>
            <w:r>
              <w:rPr>
                <w:rFonts w:hint="eastAsia" w:ascii="Times New Roman" w:hAnsi="Times New Roman" w:eastAsia="宋体" w:cs="微软雅黑"/>
                <w:i w:val="0"/>
                <w:iCs w:val="0"/>
                <w:color w:val="auto"/>
                <w:kern w:val="0"/>
                <w:sz w:val="21"/>
                <w:szCs w:val="21"/>
                <w:u w:val="none"/>
                <w:lang w:val="en-US" w:eastAsia="zh-CN" w:bidi="ar"/>
              </w:rPr>
              <w:t>摇臂钻</w:t>
            </w:r>
          </w:p>
        </w:tc>
        <w:tc>
          <w:tcPr>
            <w:tcW w:w="1767" w:type="dxa"/>
            <w:tcBorders>
              <w:tl2br w:val="nil"/>
              <w:tr2bl w:val="nil"/>
            </w:tcBorders>
            <w:noWrap w:val="0"/>
            <w:vAlign w:val="center"/>
          </w:tcPr>
          <w:p w14:paraId="28567A3D">
            <w:pPr>
              <w:keepNext w:val="0"/>
              <w:keepLines w:val="0"/>
              <w:widowControl/>
              <w:suppressLineNumbers w:val="0"/>
              <w:jc w:val="center"/>
              <w:textAlignment w:val="bottom"/>
              <w:rPr>
                <w:rFonts w:hint="default" w:ascii="Times New Roman" w:hAnsi="Times New Roman" w:eastAsia="宋体" w:cs="宋体"/>
                <w:i w:val="0"/>
                <w:iCs w:val="0"/>
                <w:color w:val="auto"/>
                <w:kern w:val="0"/>
                <w:sz w:val="21"/>
                <w:szCs w:val="21"/>
                <w:u w:val="none"/>
                <w:lang w:val="en-US" w:eastAsia="zh-CN" w:bidi="ar"/>
              </w:rPr>
            </w:pPr>
            <w:r>
              <w:rPr>
                <w:rFonts w:hint="eastAsia" w:ascii="Times New Roman" w:hAnsi="Times New Roman" w:eastAsia="宋体" w:cs="微软雅黑"/>
                <w:i w:val="0"/>
                <w:iCs w:val="0"/>
                <w:color w:val="auto"/>
                <w:kern w:val="0"/>
                <w:sz w:val="21"/>
                <w:szCs w:val="21"/>
                <w:u w:val="none"/>
                <w:lang w:val="en-US" w:eastAsia="zh-CN" w:bidi="ar"/>
              </w:rPr>
              <w:t>Z3040X13</w:t>
            </w:r>
          </w:p>
        </w:tc>
        <w:tc>
          <w:tcPr>
            <w:tcW w:w="3320" w:type="dxa"/>
            <w:tcBorders>
              <w:tl2br w:val="nil"/>
              <w:tr2bl w:val="nil"/>
            </w:tcBorders>
            <w:noWrap w:val="0"/>
            <w:vAlign w:val="center"/>
          </w:tcPr>
          <w:p w14:paraId="63CA27DE">
            <w:pPr>
              <w:keepNext w:val="0"/>
              <w:keepLines w:val="0"/>
              <w:widowControl/>
              <w:suppressLineNumbers w:val="0"/>
              <w:jc w:val="center"/>
              <w:textAlignment w:val="center"/>
              <w:rPr>
                <w:rFonts w:hint="eastAsia" w:ascii="Times New Roman" w:hAnsi="Times New Roman" w:eastAsia="宋体" w:cs="宋体"/>
                <w:i w:val="0"/>
                <w:iCs w:val="0"/>
                <w:color w:val="auto"/>
                <w:kern w:val="0"/>
                <w:sz w:val="21"/>
                <w:szCs w:val="21"/>
                <w:u w:val="none"/>
                <w:lang w:val="en-US" w:eastAsia="zh-CN" w:bidi="ar"/>
              </w:rPr>
            </w:pPr>
            <w:r>
              <w:rPr>
                <w:rFonts w:hint="eastAsia" w:ascii="Times New Roman" w:hAnsi="Times New Roman" w:eastAsia="宋体" w:cs="微软雅黑"/>
                <w:i w:val="0"/>
                <w:iCs w:val="0"/>
                <w:color w:val="auto"/>
                <w:kern w:val="0"/>
                <w:sz w:val="21"/>
                <w:szCs w:val="21"/>
                <w:u w:val="none"/>
                <w:lang w:val="en-US" w:eastAsia="zh-CN" w:bidi="ar"/>
              </w:rPr>
              <w:t>杭州双龙有限公司</w:t>
            </w:r>
          </w:p>
        </w:tc>
        <w:tc>
          <w:tcPr>
            <w:tcW w:w="880" w:type="dxa"/>
            <w:tcBorders>
              <w:tl2br w:val="nil"/>
              <w:tr2bl w:val="nil"/>
            </w:tcBorders>
            <w:noWrap w:val="0"/>
            <w:vAlign w:val="center"/>
          </w:tcPr>
          <w:p w14:paraId="59C607D3">
            <w:pPr>
              <w:keepNext w:val="0"/>
              <w:keepLines w:val="0"/>
              <w:widowControl/>
              <w:suppressLineNumbers w:val="0"/>
              <w:jc w:val="center"/>
              <w:textAlignment w:val="bottom"/>
              <w:rPr>
                <w:rFonts w:hint="default" w:ascii="Times New Roman" w:hAnsi="Times New Roman" w:eastAsia="宋体" w:cs="宋体"/>
                <w:i w:val="0"/>
                <w:iCs w:val="0"/>
                <w:color w:val="auto"/>
                <w:kern w:val="0"/>
                <w:sz w:val="21"/>
                <w:szCs w:val="21"/>
                <w:u w:val="none"/>
                <w:lang w:val="en-US" w:eastAsia="zh-CN" w:bidi="ar"/>
              </w:rPr>
            </w:pPr>
            <w:r>
              <w:rPr>
                <w:rFonts w:hint="eastAsia" w:ascii="Times New Roman" w:hAnsi="Times New Roman" w:eastAsia="宋体" w:cs="微软雅黑"/>
                <w:i w:val="0"/>
                <w:iCs w:val="0"/>
                <w:color w:val="auto"/>
                <w:kern w:val="0"/>
                <w:sz w:val="21"/>
                <w:szCs w:val="21"/>
                <w:u w:val="none"/>
                <w:lang w:val="en-US" w:eastAsia="zh-CN" w:bidi="ar"/>
              </w:rPr>
              <w:t>2</w:t>
            </w:r>
          </w:p>
        </w:tc>
      </w:tr>
      <w:tr w14:paraId="17D2259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70" w:hRule="atLeast"/>
          <w:jc w:val="center"/>
        </w:trPr>
        <w:tc>
          <w:tcPr>
            <w:tcW w:w="758" w:type="dxa"/>
            <w:tcBorders>
              <w:tl2br w:val="nil"/>
              <w:tr2bl w:val="nil"/>
            </w:tcBorders>
            <w:noWrap w:val="0"/>
            <w:vAlign w:val="center"/>
          </w:tcPr>
          <w:p w14:paraId="3D9E9E9F">
            <w:pPr>
              <w:keepNext w:val="0"/>
              <w:keepLines w:val="0"/>
              <w:widowControl/>
              <w:numPr>
                <w:ilvl w:val="0"/>
                <w:numId w:val="2"/>
              </w:numPr>
              <w:suppressLineNumbers w:val="0"/>
              <w:ind w:left="360" w:leftChars="0" w:hanging="360" w:firstLineChars="0"/>
              <w:jc w:val="center"/>
              <w:textAlignment w:val="center"/>
              <w:rPr>
                <w:rFonts w:hint="eastAsia" w:ascii="Times New Roman" w:hAnsi="Times New Roman" w:eastAsia="宋体" w:cs="宋体"/>
                <w:i w:val="0"/>
                <w:iCs w:val="0"/>
                <w:color w:val="auto"/>
                <w:kern w:val="0"/>
                <w:sz w:val="21"/>
                <w:szCs w:val="21"/>
                <w:u w:val="none"/>
                <w:lang w:val="en-US" w:eastAsia="zh-CN" w:bidi="ar"/>
              </w:rPr>
            </w:pPr>
          </w:p>
        </w:tc>
        <w:tc>
          <w:tcPr>
            <w:tcW w:w="2396" w:type="dxa"/>
            <w:tcBorders>
              <w:tl2br w:val="nil"/>
              <w:tr2bl w:val="nil"/>
            </w:tcBorders>
            <w:noWrap w:val="0"/>
            <w:vAlign w:val="center"/>
          </w:tcPr>
          <w:p w14:paraId="30DD7DBC">
            <w:pPr>
              <w:keepNext w:val="0"/>
              <w:keepLines w:val="0"/>
              <w:widowControl/>
              <w:suppressLineNumbers w:val="0"/>
              <w:jc w:val="center"/>
              <w:textAlignment w:val="center"/>
              <w:rPr>
                <w:rFonts w:hint="eastAsia" w:ascii="Times New Roman" w:hAnsi="Times New Roman" w:eastAsia="宋体" w:cs="宋体"/>
                <w:i w:val="0"/>
                <w:iCs w:val="0"/>
                <w:color w:val="auto"/>
                <w:kern w:val="0"/>
                <w:sz w:val="21"/>
                <w:szCs w:val="21"/>
                <w:u w:val="none"/>
                <w:lang w:val="en-US" w:eastAsia="zh-CN" w:bidi="ar"/>
              </w:rPr>
            </w:pPr>
            <w:r>
              <w:rPr>
                <w:rFonts w:hint="eastAsia" w:ascii="Times New Roman" w:hAnsi="Times New Roman" w:eastAsia="宋体" w:cs="微软雅黑"/>
                <w:i w:val="0"/>
                <w:iCs w:val="0"/>
                <w:color w:val="auto"/>
                <w:kern w:val="0"/>
                <w:sz w:val="21"/>
                <w:szCs w:val="21"/>
                <w:u w:val="none"/>
                <w:lang w:val="en-US" w:eastAsia="zh-CN" w:bidi="ar"/>
              </w:rPr>
              <w:t>自动堆焊机</w:t>
            </w:r>
          </w:p>
        </w:tc>
        <w:tc>
          <w:tcPr>
            <w:tcW w:w="1767" w:type="dxa"/>
            <w:tcBorders>
              <w:tl2br w:val="nil"/>
              <w:tr2bl w:val="nil"/>
            </w:tcBorders>
            <w:noWrap w:val="0"/>
            <w:vAlign w:val="center"/>
          </w:tcPr>
          <w:p w14:paraId="12E42729">
            <w:pPr>
              <w:keepNext w:val="0"/>
              <w:keepLines w:val="0"/>
              <w:widowControl/>
              <w:suppressLineNumbers w:val="0"/>
              <w:jc w:val="center"/>
              <w:textAlignment w:val="center"/>
              <w:rPr>
                <w:rFonts w:hint="default" w:ascii="Times New Roman" w:hAnsi="Times New Roman" w:eastAsia="宋体" w:cs="宋体"/>
                <w:i w:val="0"/>
                <w:iCs w:val="0"/>
                <w:color w:val="auto"/>
                <w:kern w:val="0"/>
                <w:sz w:val="21"/>
                <w:szCs w:val="21"/>
                <w:u w:val="none"/>
                <w:lang w:val="en-US" w:eastAsia="zh-CN" w:bidi="ar"/>
              </w:rPr>
            </w:pPr>
            <w:r>
              <w:rPr>
                <w:rFonts w:hint="eastAsia" w:ascii="Times New Roman" w:hAnsi="Times New Roman" w:eastAsia="宋体" w:cs="微软雅黑"/>
                <w:i w:val="0"/>
                <w:iCs w:val="0"/>
                <w:color w:val="auto"/>
                <w:kern w:val="0"/>
                <w:sz w:val="21"/>
                <w:szCs w:val="21"/>
                <w:u w:val="none"/>
                <w:lang w:val="en-US" w:eastAsia="zh-CN" w:bidi="ar"/>
              </w:rPr>
              <w:t>CH-50</w:t>
            </w:r>
          </w:p>
        </w:tc>
        <w:tc>
          <w:tcPr>
            <w:tcW w:w="3320" w:type="dxa"/>
            <w:tcBorders>
              <w:tl2br w:val="nil"/>
              <w:tr2bl w:val="nil"/>
            </w:tcBorders>
            <w:noWrap w:val="0"/>
            <w:vAlign w:val="center"/>
          </w:tcPr>
          <w:p w14:paraId="5BAEC426">
            <w:pPr>
              <w:keepNext w:val="0"/>
              <w:keepLines w:val="0"/>
              <w:widowControl/>
              <w:suppressLineNumbers w:val="0"/>
              <w:jc w:val="center"/>
              <w:textAlignment w:val="center"/>
              <w:rPr>
                <w:rFonts w:hint="eastAsia" w:ascii="Times New Roman" w:hAnsi="Times New Roman" w:eastAsia="宋体" w:cs="宋体"/>
                <w:i w:val="0"/>
                <w:iCs w:val="0"/>
                <w:color w:val="auto"/>
                <w:kern w:val="0"/>
                <w:sz w:val="21"/>
                <w:szCs w:val="21"/>
                <w:u w:val="none"/>
                <w:lang w:val="en-US" w:eastAsia="zh-CN" w:bidi="ar"/>
              </w:rPr>
            </w:pPr>
            <w:r>
              <w:rPr>
                <w:rFonts w:hint="eastAsia" w:ascii="Times New Roman" w:hAnsi="Times New Roman" w:eastAsia="宋体" w:cs="微软雅黑"/>
                <w:i w:val="0"/>
                <w:iCs w:val="0"/>
                <w:color w:val="auto"/>
                <w:kern w:val="0"/>
                <w:sz w:val="21"/>
                <w:szCs w:val="21"/>
                <w:u w:val="none"/>
                <w:lang w:val="en-US" w:eastAsia="zh-CN" w:bidi="ar"/>
              </w:rPr>
              <w:t>杭州川环自动化设备有限公司</w:t>
            </w:r>
          </w:p>
        </w:tc>
        <w:tc>
          <w:tcPr>
            <w:tcW w:w="880" w:type="dxa"/>
            <w:tcBorders>
              <w:tl2br w:val="nil"/>
              <w:tr2bl w:val="nil"/>
            </w:tcBorders>
            <w:noWrap w:val="0"/>
            <w:vAlign w:val="center"/>
          </w:tcPr>
          <w:p w14:paraId="167068DE">
            <w:pPr>
              <w:keepNext w:val="0"/>
              <w:keepLines w:val="0"/>
              <w:widowControl/>
              <w:suppressLineNumbers w:val="0"/>
              <w:jc w:val="center"/>
              <w:textAlignment w:val="center"/>
              <w:rPr>
                <w:rFonts w:hint="default" w:ascii="Times New Roman" w:hAnsi="Times New Roman" w:eastAsia="宋体" w:cs="宋体"/>
                <w:i w:val="0"/>
                <w:iCs w:val="0"/>
                <w:color w:val="auto"/>
                <w:kern w:val="0"/>
                <w:sz w:val="21"/>
                <w:szCs w:val="21"/>
                <w:u w:val="none"/>
                <w:lang w:val="en-US" w:eastAsia="zh-CN" w:bidi="ar"/>
              </w:rPr>
            </w:pPr>
            <w:r>
              <w:rPr>
                <w:rFonts w:hint="eastAsia" w:ascii="Times New Roman" w:hAnsi="Times New Roman" w:eastAsia="宋体" w:cs="微软雅黑"/>
                <w:i w:val="0"/>
                <w:iCs w:val="0"/>
                <w:color w:val="auto"/>
                <w:kern w:val="0"/>
                <w:sz w:val="21"/>
                <w:szCs w:val="21"/>
                <w:u w:val="none"/>
                <w:lang w:val="en-US" w:eastAsia="zh-CN" w:bidi="ar"/>
              </w:rPr>
              <w:t>1</w:t>
            </w:r>
          </w:p>
        </w:tc>
      </w:tr>
      <w:tr w14:paraId="638AA23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70" w:hRule="atLeast"/>
          <w:jc w:val="center"/>
        </w:trPr>
        <w:tc>
          <w:tcPr>
            <w:tcW w:w="758" w:type="dxa"/>
            <w:tcBorders>
              <w:tl2br w:val="nil"/>
              <w:tr2bl w:val="nil"/>
            </w:tcBorders>
            <w:noWrap w:val="0"/>
            <w:vAlign w:val="center"/>
          </w:tcPr>
          <w:p w14:paraId="7276C27C">
            <w:pPr>
              <w:keepNext w:val="0"/>
              <w:keepLines w:val="0"/>
              <w:widowControl/>
              <w:numPr>
                <w:ilvl w:val="0"/>
                <w:numId w:val="2"/>
              </w:numPr>
              <w:suppressLineNumbers w:val="0"/>
              <w:ind w:left="360" w:leftChars="0" w:hanging="360" w:firstLineChars="0"/>
              <w:jc w:val="center"/>
              <w:textAlignment w:val="center"/>
              <w:rPr>
                <w:rFonts w:hint="eastAsia" w:ascii="Times New Roman" w:hAnsi="Times New Roman" w:eastAsia="宋体" w:cs="宋体"/>
                <w:i w:val="0"/>
                <w:iCs w:val="0"/>
                <w:color w:val="auto"/>
                <w:kern w:val="0"/>
                <w:sz w:val="21"/>
                <w:szCs w:val="21"/>
                <w:u w:val="none"/>
                <w:lang w:val="en-US" w:eastAsia="zh-CN" w:bidi="ar"/>
              </w:rPr>
            </w:pPr>
          </w:p>
        </w:tc>
        <w:tc>
          <w:tcPr>
            <w:tcW w:w="2396" w:type="dxa"/>
            <w:tcBorders>
              <w:tl2br w:val="nil"/>
              <w:tr2bl w:val="nil"/>
            </w:tcBorders>
            <w:noWrap w:val="0"/>
            <w:vAlign w:val="center"/>
          </w:tcPr>
          <w:p w14:paraId="50F26E6C">
            <w:pPr>
              <w:keepNext w:val="0"/>
              <w:keepLines w:val="0"/>
              <w:widowControl/>
              <w:suppressLineNumbers w:val="0"/>
              <w:jc w:val="center"/>
              <w:textAlignment w:val="bottom"/>
              <w:rPr>
                <w:rFonts w:hint="default" w:ascii="Times New Roman" w:hAnsi="Times New Roman" w:eastAsia="宋体" w:cs="微软雅黑"/>
                <w:i w:val="0"/>
                <w:iCs w:val="0"/>
                <w:color w:val="auto"/>
                <w:kern w:val="0"/>
                <w:sz w:val="21"/>
                <w:szCs w:val="21"/>
                <w:u w:val="none"/>
                <w:lang w:val="en-US" w:eastAsia="zh-CN" w:bidi="ar"/>
              </w:rPr>
            </w:pPr>
            <w:r>
              <w:rPr>
                <w:rFonts w:hint="eastAsia" w:ascii="Times New Roman" w:hAnsi="Times New Roman" w:eastAsia="宋体" w:cs="微软雅黑"/>
                <w:i w:val="0"/>
                <w:iCs w:val="0"/>
                <w:color w:val="auto"/>
                <w:kern w:val="0"/>
                <w:sz w:val="21"/>
                <w:szCs w:val="21"/>
                <w:u w:val="none"/>
                <w:lang w:val="en-US" w:eastAsia="zh-CN" w:bidi="ar"/>
              </w:rPr>
              <w:t>阀瓣自动堆焊</w:t>
            </w:r>
          </w:p>
        </w:tc>
        <w:tc>
          <w:tcPr>
            <w:tcW w:w="1767" w:type="dxa"/>
            <w:tcBorders>
              <w:tl2br w:val="nil"/>
              <w:tr2bl w:val="nil"/>
            </w:tcBorders>
            <w:noWrap w:val="0"/>
            <w:vAlign w:val="center"/>
          </w:tcPr>
          <w:p w14:paraId="3E385EF5">
            <w:pPr>
              <w:keepNext w:val="0"/>
              <w:keepLines w:val="0"/>
              <w:widowControl/>
              <w:suppressLineNumbers w:val="0"/>
              <w:jc w:val="center"/>
              <w:textAlignment w:val="bottom"/>
              <w:rPr>
                <w:rFonts w:hint="default" w:ascii="Times New Roman" w:hAnsi="Times New Roman" w:eastAsia="宋体" w:cs="微软雅黑"/>
                <w:i w:val="0"/>
                <w:iCs w:val="0"/>
                <w:color w:val="auto"/>
                <w:kern w:val="0"/>
                <w:sz w:val="21"/>
                <w:szCs w:val="21"/>
                <w:u w:val="none"/>
                <w:lang w:val="en-US" w:eastAsia="zh-CN" w:bidi="ar"/>
              </w:rPr>
            </w:pPr>
            <w:r>
              <w:rPr>
                <w:rFonts w:hint="eastAsia" w:ascii="Times New Roman" w:hAnsi="Times New Roman" w:eastAsia="宋体" w:cs="微软雅黑"/>
                <w:i w:val="0"/>
                <w:iCs w:val="0"/>
                <w:color w:val="auto"/>
                <w:kern w:val="0"/>
                <w:sz w:val="21"/>
                <w:szCs w:val="21"/>
                <w:u w:val="none"/>
                <w:lang w:val="en-US" w:eastAsia="zh-CN" w:bidi="ar"/>
              </w:rPr>
              <w:t>BWG-300A-2</w:t>
            </w:r>
          </w:p>
        </w:tc>
        <w:tc>
          <w:tcPr>
            <w:tcW w:w="3320" w:type="dxa"/>
            <w:tcBorders>
              <w:tl2br w:val="nil"/>
              <w:tr2bl w:val="nil"/>
            </w:tcBorders>
            <w:noWrap w:val="0"/>
            <w:vAlign w:val="center"/>
          </w:tcPr>
          <w:p w14:paraId="1F1562E4">
            <w:pPr>
              <w:keepNext w:val="0"/>
              <w:keepLines w:val="0"/>
              <w:widowControl/>
              <w:suppressLineNumbers w:val="0"/>
              <w:jc w:val="center"/>
              <w:textAlignment w:val="center"/>
              <w:rPr>
                <w:rFonts w:hint="default" w:ascii="Times New Roman" w:hAnsi="Times New Roman" w:eastAsia="宋体" w:cs="微软雅黑"/>
                <w:i w:val="0"/>
                <w:iCs w:val="0"/>
                <w:color w:val="auto"/>
                <w:kern w:val="0"/>
                <w:sz w:val="21"/>
                <w:szCs w:val="21"/>
                <w:u w:val="none"/>
                <w:lang w:val="en-US" w:eastAsia="zh-CN" w:bidi="ar"/>
              </w:rPr>
            </w:pPr>
            <w:r>
              <w:rPr>
                <w:rFonts w:hint="eastAsia" w:ascii="Times New Roman" w:hAnsi="Times New Roman" w:eastAsia="宋体" w:cs="微软雅黑"/>
                <w:i w:val="0"/>
                <w:iCs w:val="0"/>
                <w:color w:val="auto"/>
                <w:kern w:val="0"/>
                <w:sz w:val="21"/>
                <w:szCs w:val="21"/>
                <w:u w:val="none"/>
                <w:lang w:val="en-US" w:eastAsia="zh-CN" w:bidi="ar"/>
              </w:rPr>
              <w:t>瑞安市华研焊接自动化科技有限公司</w:t>
            </w:r>
          </w:p>
        </w:tc>
        <w:tc>
          <w:tcPr>
            <w:tcW w:w="880" w:type="dxa"/>
            <w:tcBorders>
              <w:tl2br w:val="nil"/>
              <w:tr2bl w:val="nil"/>
            </w:tcBorders>
            <w:noWrap w:val="0"/>
            <w:vAlign w:val="center"/>
          </w:tcPr>
          <w:p w14:paraId="5A541758">
            <w:pPr>
              <w:keepNext w:val="0"/>
              <w:keepLines w:val="0"/>
              <w:widowControl/>
              <w:suppressLineNumbers w:val="0"/>
              <w:jc w:val="center"/>
              <w:textAlignment w:val="bottom"/>
              <w:rPr>
                <w:rFonts w:hint="default" w:ascii="Times New Roman" w:hAnsi="Times New Roman" w:eastAsia="宋体" w:cs="微软雅黑"/>
                <w:i w:val="0"/>
                <w:iCs w:val="0"/>
                <w:color w:val="auto"/>
                <w:kern w:val="0"/>
                <w:sz w:val="21"/>
                <w:szCs w:val="21"/>
                <w:u w:val="none"/>
                <w:lang w:val="en-US" w:eastAsia="zh-CN" w:bidi="ar"/>
              </w:rPr>
            </w:pPr>
            <w:r>
              <w:rPr>
                <w:rFonts w:hint="eastAsia" w:ascii="Times New Roman" w:hAnsi="Times New Roman" w:eastAsia="宋体" w:cs="微软雅黑"/>
                <w:i w:val="0"/>
                <w:iCs w:val="0"/>
                <w:color w:val="auto"/>
                <w:kern w:val="0"/>
                <w:sz w:val="21"/>
                <w:szCs w:val="21"/>
                <w:u w:val="none"/>
                <w:lang w:val="en-US" w:eastAsia="zh-CN" w:bidi="ar"/>
              </w:rPr>
              <w:t>1</w:t>
            </w:r>
          </w:p>
        </w:tc>
      </w:tr>
    </w:tbl>
    <w:p w14:paraId="219C309F">
      <w:pPr>
        <w:adjustRightInd w:val="0"/>
        <w:snapToGrid w:val="0"/>
        <w:spacing w:before="156" w:beforeLines="50" w:after="156" w:afterLines="50" w:line="300" w:lineRule="auto"/>
        <w:ind w:firstLine="482" w:firstLineChars="200"/>
        <w:rPr>
          <w:rFonts w:ascii="Times New Roman" w:hAnsi="Times New Roman"/>
          <w:b/>
          <w:color w:val="auto"/>
          <w:sz w:val="24"/>
          <w:szCs w:val="24"/>
        </w:rPr>
      </w:pPr>
      <w:r>
        <w:rPr>
          <w:rFonts w:ascii="Times New Roman" w:hAnsi="Times New Roman"/>
          <w:b/>
          <w:color w:val="auto"/>
          <w:sz w:val="24"/>
          <w:szCs w:val="24"/>
        </w:rPr>
        <w:t>2</w:t>
      </w:r>
      <w:r>
        <w:rPr>
          <w:rFonts w:hint="eastAsia" w:ascii="Times New Roman" w:hAnsi="Times New Roman"/>
          <w:b/>
          <w:color w:val="auto"/>
          <w:sz w:val="24"/>
          <w:szCs w:val="24"/>
        </w:rPr>
        <w:t>）研发与检测设备</w:t>
      </w:r>
    </w:p>
    <w:p w14:paraId="7E24DCE7">
      <w:pPr>
        <w:spacing w:line="360" w:lineRule="auto"/>
        <w:ind w:firstLine="480" w:firstLineChars="200"/>
        <w:rPr>
          <w:rFonts w:hint="eastAsia" w:ascii="宋体" w:hAnsi="宋体" w:eastAsia="宋体" w:cs="Times New Roman"/>
          <w:color w:val="auto"/>
          <w:sz w:val="24"/>
        </w:rPr>
      </w:pPr>
      <w:r>
        <w:rPr>
          <w:rFonts w:hint="eastAsia" w:ascii="宋体" w:hAnsi="宋体" w:eastAsia="宋体" w:cs="Times New Roman"/>
          <w:color w:val="auto"/>
          <w:sz w:val="24"/>
        </w:rPr>
        <w:t>公司建立了</w:t>
      </w:r>
      <w:r>
        <w:rPr>
          <w:rFonts w:hint="eastAsia" w:ascii="宋体" w:hAnsi="宋体" w:eastAsia="宋体" w:cs="Times New Roman"/>
          <w:color w:val="auto"/>
          <w:sz w:val="24"/>
          <w:lang w:eastAsia="zh-CN"/>
        </w:rPr>
        <w:t>独立的</w:t>
      </w:r>
      <w:r>
        <w:rPr>
          <w:rFonts w:hint="eastAsia" w:ascii="宋体" w:hAnsi="宋体" w:eastAsia="宋体" w:cs="Times New Roman"/>
          <w:color w:val="auto"/>
          <w:sz w:val="24"/>
          <w:lang w:val="en-US" w:eastAsia="zh-CN"/>
        </w:rPr>
        <w:t>实验室</w:t>
      </w:r>
      <w:r>
        <w:rPr>
          <w:rFonts w:hint="eastAsia" w:ascii="宋体" w:hAnsi="宋体" w:eastAsia="宋体" w:cs="Times New Roman"/>
          <w:color w:val="auto"/>
          <w:sz w:val="24"/>
        </w:rPr>
        <w:t>，拥有</w:t>
      </w:r>
      <w:r>
        <w:rPr>
          <w:rFonts w:hint="eastAsia" w:ascii="宋体" w:hAnsi="宋体" w:eastAsia="宋体" w:cs="Times New Roman"/>
          <w:color w:val="auto"/>
          <w:sz w:val="24"/>
          <w:lang w:eastAsia="zh-CN"/>
        </w:rPr>
        <w:t>齐全</w:t>
      </w:r>
      <w:r>
        <w:rPr>
          <w:rFonts w:hint="eastAsia" w:ascii="宋体" w:hAnsi="宋体" w:eastAsia="宋体" w:cs="Times New Roman"/>
          <w:color w:val="auto"/>
          <w:sz w:val="24"/>
        </w:rPr>
        <w:t>的</w:t>
      </w:r>
      <w:r>
        <w:rPr>
          <w:rFonts w:hint="eastAsia" w:ascii="宋体" w:hAnsi="宋体" w:eastAsia="宋体" w:cs="Times New Roman"/>
          <w:color w:val="auto"/>
          <w:sz w:val="24"/>
          <w:lang w:eastAsia="zh-CN"/>
        </w:rPr>
        <w:t>设计、加工、</w:t>
      </w:r>
      <w:r>
        <w:rPr>
          <w:rFonts w:hint="eastAsia" w:ascii="宋体" w:hAnsi="宋体" w:eastAsia="宋体" w:cs="Times New Roman"/>
          <w:color w:val="auto"/>
          <w:sz w:val="24"/>
        </w:rPr>
        <w:t>检测设备；</w:t>
      </w:r>
      <w:r>
        <w:rPr>
          <w:rFonts w:hint="eastAsia" w:ascii="宋体" w:hAnsi="宋体" w:eastAsia="宋体" w:cs="Times New Roman"/>
          <w:color w:val="auto"/>
          <w:sz w:val="24"/>
          <w:lang w:eastAsia="zh-CN"/>
        </w:rPr>
        <w:t>先进的</w:t>
      </w:r>
      <w:r>
        <w:rPr>
          <w:rFonts w:hint="eastAsia" w:ascii="宋体" w:hAnsi="宋体" w:eastAsia="宋体" w:cs="Times New Roman"/>
          <w:color w:val="auto"/>
          <w:sz w:val="24"/>
          <w:lang w:val="en-US" w:eastAsia="zh-CN"/>
        </w:rPr>
        <w:t>光谱仪、超声波探伤仪、盐雾试验机、拉力试验机、寿命试验机</w:t>
      </w:r>
      <w:r>
        <w:rPr>
          <w:rFonts w:hint="eastAsia" w:ascii="宋体" w:hAnsi="宋体" w:eastAsia="宋体" w:cs="Times New Roman"/>
          <w:color w:val="auto"/>
          <w:sz w:val="24"/>
          <w:lang w:eastAsia="zh-CN"/>
        </w:rPr>
        <w:t>等等</w:t>
      </w:r>
      <w:r>
        <w:rPr>
          <w:rFonts w:hint="eastAsia" w:ascii="宋体" w:hAnsi="宋体" w:eastAsia="宋体" w:cs="Times New Roman"/>
          <w:color w:val="auto"/>
          <w:sz w:val="24"/>
        </w:rPr>
        <w:t>，</w:t>
      </w:r>
      <w:r>
        <w:rPr>
          <w:rFonts w:hint="eastAsia" w:ascii="宋体" w:hAnsi="宋体" w:eastAsia="宋体" w:cs="Times New Roman"/>
          <w:color w:val="auto"/>
          <w:sz w:val="24"/>
          <w:lang w:eastAsia="zh-CN"/>
        </w:rPr>
        <w:t>主要</w:t>
      </w:r>
      <w:r>
        <w:rPr>
          <w:rFonts w:hint="eastAsia" w:ascii="宋体" w:hAnsi="宋体" w:eastAsia="宋体" w:cs="Times New Roman"/>
          <w:color w:val="auto"/>
          <w:sz w:val="24"/>
          <w:lang w:val="en-US" w:eastAsia="zh-CN"/>
        </w:rPr>
        <w:t>测量</w:t>
      </w:r>
      <w:r>
        <w:rPr>
          <w:rFonts w:hint="eastAsia" w:ascii="宋体" w:hAnsi="宋体" w:eastAsia="宋体" w:cs="Times New Roman"/>
          <w:color w:val="auto"/>
          <w:sz w:val="24"/>
        </w:rPr>
        <w:t>设备如下：</w:t>
      </w:r>
    </w:p>
    <w:tbl>
      <w:tblPr>
        <w:tblStyle w:val="14"/>
        <w:tblW w:w="915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42"/>
        <w:gridCol w:w="2690"/>
        <w:gridCol w:w="1701"/>
        <w:gridCol w:w="2964"/>
        <w:gridCol w:w="860"/>
      </w:tblGrid>
      <w:tr w14:paraId="6A65995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8" w:hRule="atLeast"/>
          <w:tblHeader/>
          <w:jc w:val="center"/>
        </w:trPr>
        <w:tc>
          <w:tcPr>
            <w:tcW w:w="942" w:type="dxa"/>
            <w:tcBorders>
              <w:tl2br w:val="nil"/>
              <w:tr2bl w:val="nil"/>
            </w:tcBorders>
            <w:shd w:val="clear" w:color="auto" w:fill="FFFFFF"/>
            <w:noWrap w:val="0"/>
            <w:vAlign w:val="center"/>
          </w:tcPr>
          <w:p w14:paraId="632A4859">
            <w:pPr>
              <w:jc w:val="center"/>
              <w:rPr>
                <w:rFonts w:hint="eastAsia" w:ascii="宋体" w:hAnsi="宋体" w:eastAsia="宋体" w:cs="宋体"/>
                <w:b/>
                <w:bCs/>
                <w:color w:val="auto"/>
                <w:sz w:val="21"/>
                <w:szCs w:val="21"/>
              </w:rPr>
            </w:pPr>
            <w:bookmarkStart w:id="21" w:name="_Toc456263975"/>
            <w:bookmarkStart w:id="22" w:name="_Toc606"/>
            <w:r>
              <w:rPr>
                <w:rFonts w:hint="eastAsia" w:ascii="宋体" w:hAnsi="宋体" w:eastAsia="宋体" w:cs="宋体"/>
                <w:b/>
                <w:bCs/>
                <w:color w:val="auto"/>
                <w:sz w:val="21"/>
                <w:szCs w:val="21"/>
              </w:rPr>
              <w:t>序号</w:t>
            </w:r>
          </w:p>
        </w:tc>
        <w:tc>
          <w:tcPr>
            <w:tcW w:w="2690" w:type="dxa"/>
            <w:tcBorders>
              <w:tl2br w:val="nil"/>
              <w:tr2bl w:val="nil"/>
            </w:tcBorders>
            <w:shd w:val="clear" w:color="auto" w:fill="FFFFFF"/>
            <w:noWrap w:val="0"/>
            <w:vAlign w:val="center"/>
          </w:tcPr>
          <w:p w14:paraId="4665E01C">
            <w:pPr>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仪器设备名称</w:t>
            </w:r>
          </w:p>
        </w:tc>
        <w:tc>
          <w:tcPr>
            <w:tcW w:w="1701" w:type="dxa"/>
            <w:tcBorders>
              <w:tl2br w:val="nil"/>
              <w:tr2bl w:val="nil"/>
            </w:tcBorders>
            <w:shd w:val="clear" w:color="auto" w:fill="FFFFFF"/>
            <w:noWrap w:val="0"/>
            <w:vAlign w:val="center"/>
          </w:tcPr>
          <w:p w14:paraId="706D0D1B">
            <w:pPr>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型号规格</w:t>
            </w:r>
          </w:p>
        </w:tc>
        <w:tc>
          <w:tcPr>
            <w:tcW w:w="2964" w:type="dxa"/>
            <w:tcBorders>
              <w:tl2br w:val="nil"/>
              <w:tr2bl w:val="nil"/>
            </w:tcBorders>
            <w:shd w:val="clear" w:color="auto" w:fill="FFFFFF"/>
            <w:noWrap w:val="0"/>
            <w:vAlign w:val="center"/>
          </w:tcPr>
          <w:p w14:paraId="207C5159">
            <w:pPr>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制造商</w:t>
            </w:r>
          </w:p>
        </w:tc>
        <w:tc>
          <w:tcPr>
            <w:tcW w:w="860" w:type="dxa"/>
            <w:tcBorders>
              <w:tl2br w:val="nil"/>
              <w:tr2bl w:val="nil"/>
            </w:tcBorders>
            <w:shd w:val="clear" w:color="auto" w:fill="FFFFFF"/>
            <w:noWrap w:val="0"/>
            <w:vAlign w:val="center"/>
          </w:tcPr>
          <w:p w14:paraId="2AE5A08D">
            <w:pPr>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台数</w:t>
            </w:r>
          </w:p>
        </w:tc>
      </w:tr>
      <w:tr w14:paraId="7C5DFDA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942" w:type="dxa"/>
            <w:tcBorders>
              <w:tl2br w:val="nil"/>
              <w:tr2bl w:val="nil"/>
            </w:tcBorders>
            <w:noWrap w:val="0"/>
            <w:vAlign w:val="center"/>
          </w:tcPr>
          <w:p w14:paraId="4EEA1FAA">
            <w:pPr>
              <w:numPr>
                <w:ilvl w:val="0"/>
                <w:numId w:val="3"/>
              </w:numPr>
              <w:ind w:left="425" w:leftChars="0" w:hanging="425" w:firstLineChars="0"/>
              <w:jc w:val="center"/>
              <w:rPr>
                <w:rFonts w:hint="eastAsia" w:ascii="宋体" w:hAnsi="宋体" w:eastAsia="宋体" w:cs="宋体"/>
                <w:color w:val="auto"/>
                <w:kern w:val="2"/>
                <w:sz w:val="21"/>
                <w:szCs w:val="21"/>
                <w:lang w:val="en-US" w:eastAsia="zh-CN" w:bidi="ar-SA"/>
              </w:rPr>
            </w:pPr>
          </w:p>
        </w:tc>
        <w:tc>
          <w:tcPr>
            <w:tcW w:w="2690" w:type="dxa"/>
            <w:tcBorders>
              <w:tl2br w:val="nil"/>
              <w:tr2bl w:val="nil"/>
            </w:tcBorders>
            <w:noWrap w:val="0"/>
            <w:vAlign w:val="center"/>
          </w:tcPr>
          <w:p w14:paraId="431C16F1">
            <w:pPr>
              <w:spacing w:line="0" w:lineRule="atLeast"/>
              <w:jc w:val="center"/>
              <w:rPr>
                <w:rFonts w:hint="eastAsia" w:ascii="宋体" w:hAnsi="宋体" w:eastAsia="宋体" w:cs="宋体"/>
                <w:color w:val="auto"/>
                <w:spacing w:val="-6"/>
                <w:sz w:val="21"/>
                <w:szCs w:val="21"/>
                <w:lang w:val="en-US" w:eastAsia="zh-CN"/>
              </w:rPr>
            </w:pPr>
            <w:r>
              <w:rPr>
                <w:rFonts w:hint="eastAsia" w:ascii="宋体" w:hAnsi="宋体" w:eastAsia="宋体" w:cs="宋体"/>
                <w:color w:val="auto"/>
                <w:spacing w:val="-6"/>
                <w:sz w:val="21"/>
                <w:szCs w:val="21"/>
                <w:lang w:val="en-US" w:eastAsia="zh-CN"/>
              </w:rPr>
              <w:t>光谱仪</w:t>
            </w:r>
          </w:p>
        </w:tc>
        <w:tc>
          <w:tcPr>
            <w:tcW w:w="1701" w:type="dxa"/>
            <w:tcBorders>
              <w:tl2br w:val="nil"/>
              <w:tr2bl w:val="nil"/>
            </w:tcBorders>
            <w:noWrap w:val="0"/>
            <w:vAlign w:val="center"/>
          </w:tcPr>
          <w:p w14:paraId="5CEB60F0">
            <w:pPr>
              <w:spacing w:line="0" w:lineRule="atLeast"/>
              <w:jc w:val="center"/>
              <w:rPr>
                <w:rFonts w:hint="eastAsia" w:ascii="宋体" w:hAnsi="宋体" w:eastAsia="宋体" w:cs="宋体"/>
                <w:color w:val="auto"/>
                <w:spacing w:val="-6"/>
                <w:sz w:val="21"/>
                <w:szCs w:val="21"/>
                <w:lang w:val="en-US" w:eastAsia="zh-CN"/>
              </w:rPr>
            </w:pPr>
            <w:r>
              <w:rPr>
                <w:rFonts w:hint="eastAsia" w:ascii="宋体" w:hAnsi="宋体" w:eastAsia="宋体" w:cs="宋体"/>
                <w:color w:val="auto"/>
                <w:spacing w:val="-6"/>
                <w:sz w:val="21"/>
                <w:szCs w:val="21"/>
                <w:lang w:val="en-US" w:eastAsia="zh-CN"/>
              </w:rPr>
              <w:t>DF440/13</w:t>
            </w:r>
          </w:p>
        </w:tc>
        <w:tc>
          <w:tcPr>
            <w:tcW w:w="2964" w:type="dxa"/>
            <w:tcBorders>
              <w:tl2br w:val="nil"/>
              <w:tr2bl w:val="nil"/>
            </w:tcBorders>
            <w:noWrap w:val="0"/>
            <w:vAlign w:val="center"/>
          </w:tcPr>
          <w:p w14:paraId="3807C80C">
            <w:pPr>
              <w:spacing w:line="0" w:lineRule="atLeast"/>
              <w:jc w:val="center"/>
              <w:rPr>
                <w:rFonts w:hint="eastAsia" w:ascii="宋体" w:hAnsi="宋体" w:eastAsia="宋体" w:cs="宋体"/>
                <w:color w:val="auto"/>
                <w:spacing w:val="-6"/>
                <w:sz w:val="21"/>
                <w:szCs w:val="21"/>
                <w:lang w:val="en-US" w:eastAsia="zh-CN"/>
              </w:rPr>
            </w:pPr>
            <w:r>
              <w:rPr>
                <w:rFonts w:hint="eastAsia" w:ascii="宋体" w:hAnsi="宋体" w:eastAsia="宋体" w:cs="宋体"/>
                <w:color w:val="auto"/>
                <w:spacing w:val="-6"/>
                <w:sz w:val="21"/>
                <w:szCs w:val="21"/>
                <w:lang w:val="en-US" w:eastAsia="zh-CN"/>
              </w:rPr>
              <w:t>上海世成仪器</w:t>
            </w:r>
          </w:p>
        </w:tc>
        <w:tc>
          <w:tcPr>
            <w:tcW w:w="860" w:type="dxa"/>
            <w:tcBorders>
              <w:tl2br w:val="nil"/>
              <w:tr2bl w:val="nil"/>
            </w:tcBorders>
            <w:noWrap w:val="0"/>
            <w:vAlign w:val="center"/>
          </w:tcPr>
          <w:p w14:paraId="3617186D">
            <w:pPr>
              <w:spacing w:line="0" w:lineRule="atLeast"/>
              <w:jc w:val="center"/>
              <w:rPr>
                <w:rFonts w:hint="eastAsia" w:ascii="宋体" w:hAnsi="宋体" w:eastAsia="宋体" w:cs="宋体"/>
                <w:color w:val="auto"/>
                <w:spacing w:val="-6"/>
                <w:sz w:val="21"/>
                <w:szCs w:val="21"/>
                <w:lang w:val="en-US" w:eastAsia="zh-CN"/>
              </w:rPr>
            </w:pPr>
            <w:r>
              <w:rPr>
                <w:rFonts w:hint="eastAsia" w:ascii="宋体" w:hAnsi="宋体" w:eastAsia="宋体" w:cs="宋体"/>
                <w:color w:val="auto"/>
                <w:spacing w:val="-6"/>
                <w:sz w:val="21"/>
                <w:szCs w:val="21"/>
                <w:lang w:val="en-US" w:eastAsia="zh-CN"/>
              </w:rPr>
              <w:t>1</w:t>
            </w:r>
          </w:p>
        </w:tc>
      </w:tr>
      <w:tr w14:paraId="20DE3DD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942" w:type="dxa"/>
            <w:tcBorders>
              <w:tl2br w:val="nil"/>
              <w:tr2bl w:val="nil"/>
            </w:tcBorders>
            <w:noWrap w:val="0"/>
            <w:vAlign w:val="center"/>
          </w:tcPr>
          <w:p w14:paraId="47250C8B">
            <w:pPr>
              <w:numPr>
                <w:ilvl w:val="0"/>
                <w:numId w:val="3"/>
              </w:numPr>
              <w:ind w:left="425" w:leftChars="0" w:hanging="425" w:firstLineChars="0"/>
              <w:jc w:val="center"/>
              <w:rPr>
                <w:rFonts w:hint="eastAsia" w:ascii="宋体" w:hAnsi="宋体" w:eastAsia="宋体" w:cs="宋体"/>
                <w:color w:val="auto"/>
                <w:kern w:val="2"/>
                <w:sz w:val="21"/>
                <w:szCs w:val="21"/>
                <w:lang w:val="en-US" w:eastAsia="zh-CN" w:bidi="ar-SA"/>
              </w:rPr>
            </w:pPr>
          </w:p>
        </w:tc>
        <w:tc>
          <w:tcPr>
            <w:tcW w:w="2690" w:type="dxa"/>
            <w:tcBorders>
              <w:tl2br w:val="nil"/>
              <w:tr2bl w:val="nil"/>
            </w:tcBorders>
            <w:noWrap w:val="0"/>
            <w:vAlign w:val="center"/>
          </w:tcPr>
          <w:p w14:paraId="6F56A665">
            <w:pPr>
              <w:spacing w:line="0" w:lineRule="atLeast"/>
              <w:jc w:val="center"/>
              <w:rPr>
                <w:rFonts w:hint="eastAsia" w:ascii="宋体" w:hAnsi="宋体" w:eastAsia="宋体" w:cs="宋体"/>
                <w:color w:val="auto"/>
                <w:spacing w:val="-6"/>
                <w:sz w:val="21"/>
                <w:szCs w:val="21"/>
                <w:lang w:val="en-US" w:eastAsia="zh-CN"/>
              </w:rPr>
            </w:pPr>
            <w:r>
              <w:rPr>
                <w:rFonts w:hint="eastAsia" w:ascii="宋体" w:hAnsi="宋体" w:eastAsia="宋体" w:cs="宋体"/>
                <w:color w:val="auto"/>
                <w:spacing w:val="-12"/>
                <w:sz w:val="21"/>
                <w:szCs w:val="21"/>
              </w:rPr>
              <w:t>阀门控制信号位置精度动作寿命试验仪</w:t>
            </w:r>
          </w:p>
        </w:tc>
        <w:tc>
          <w:tcPr>
            <w:tcW w:w="1701" w:type="dxa"/>
            <w:tcBorders>
              <w:tl2br w:val="nil"/>
              <w:tr2bl w:val="nil"/>
            </w:tcBorders>
            <w:noWrap w:val="0"/>
            <w:vAlign w:val="center"/>
          </w:tcPr>
          <w:p w14:paraId="230ADC25">
            <w:pPr>
              <w:spacing w:line="0" w:lineRule="atLeast"/>
              <w:jc w:val="center"/>
              <w:rPr>
                <w:rFonts w:hint="eastAsia" w:ascii="宋体" w:hAnsi="宋体" w:eastAsia="宋体" w:cs="宋体"/>
                <w:color w:val="auto"/>
                <w:spacing w:val="-6"/>
                <w:sz w:val="21"/>
                <w:szCs w:val="21"/>
                <w:lang w:val="en-US" w:eastAsia="zh-CN"/>
              </w:rPr>
            </w:pPr>
            <w:r>
              <w:rPr>
                <w:rStyle w:val="16"/>
                <w:rFonts w:hint="eastAsia" w:ascii="宋体" w:hAnsi="宋体" w:eastAsia="宋体" w:cs="宋体"/>
                <w:b w:val="0"/>
                <w:bCs w:val="0"/>
                <w:i w:val="0"/>
                <w:iCs w:val="0"/>
                <w:caps w:val="0"/>
                <w:color w:val="auto"/>
                <w:spacing w:val="0"/>
                <w:sz w:val="21"/>
                <w:szCs w:val="21"/>
                <w:shd w:val="clear" w:color="auto" w:fill="FFFFFF"/>
              </w:rPr>
              <w:t>4~20mA</w:t>
            </w:r>
          </w:p>
        </w:tc>
        <w:tc>
          <w:tcPr>
            <w:tcW w:w="2964" w:type="dxa"/>
            <w:tcBorders>
              <w:tl2br w:val="nil"/>
              <w:tr2bl w:val="nil"/>
            </w:tcBorders>
            <w:noWrap w:val="0"/>
            <w:vAlign w:val="center"/>
          </w:tcPr>
          <w:p w14:paraId="475CAC3D">
            <w:pPr>
              <w:spacing w:line="0" w:lineRule="atLeast"/>
              <w:jc w:val="center"/>
              <w:rPr>
                <w:rFonts w:hint="eastAsia" w:ascii="宋体" w:hAnsi="宋体" w:eastAsia="宋体" w:cs="宋体"/>
                <w:color w:val="auto"/>
                <w:spacing w:val="-6"/>
                <w:sz w:val="21"/>
                <w:szCs w:val="21"/>
                <w:lang w:val="en-US" w:eastAsia="zh-CN"/>
              </w:rPr>
            </w:pPr>
            <w:r>
              <w:rPr>
                <w:rFonts w:hint="eastAsia" w:ascii="宋体" w:hAnsi="宋体" w:eastAsia="宋体" w:cs="宋体"/>
                <w:color w:val="auto"/>
                <w:sz w:val="21"/>
                <w:szCs w:val="21"/>
              </w:rPr>
              <w:t>温州方圆仪器有限公司</w:t>
            </w:r>
          </w:p>
        </w:tc>
        <w:tc>
          <w:tcPr>
            <w:tcW w:w="860" w:type="dxa"/>
            <w:tcBorders>
              <w:tl2br w:val="nil"/>
              <w:tr2bl w:val="nil"/>
            </w:tcBorders>
            <w:noWrap w:val="0"/>
            <w:vAlign w:val="center"/>
          </w:tcPr>
          <w:p w14:paraId="61E48C1C">
            <w:pPr>
              <w:spacing w:line="0" w:lineRule="atLeast"/>
              <w:jc w:val="center"/>
              <w:rPr>
                <w:rFonts w:hint="eastAsia" w:ascii="宋体" w:hAnsi="宋体" w:eastAsia="宋体" w:cs="宋体"/>
                <w:color w:val="auto"/>
                <w:spacing w:val="-6"/>
                <w:sz w:val="21"/>
                <w:szCs w:val="21"/>
                <w:lang w:val="en-US" w:eastAsia="zh-CN"/>
              </w:rPr>
            </w:pPr>
            <w:r>
              <w:rPr>
                <w:rFonts w:hint="eastAsia" w:ascii="宋体" w:hAnsi="宋体" w:eastAsia="宋体" w:cs="宋体"/>
                <w:color w:val="auto"/>
                <w:spacing w:val="-6"/>
                <w:sz w:val="21"/>
                <w:szCs w:val="21"/>
                <w:lang w:val="en-US" w:eastAsia="zh-CN"/>
              </w:rPr>
              <w:t>1</w:t>
            </w:r>
          </w:p>
        </w:tc>
      </w:tr>
      <w:tr w14:paraId="62C742E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942" w:type="dxa"/>
            <w:tcBorders>
              <w:tl2br w:val="nil"/>
              <w:tr2bl w:val="nil"/>
            </w:tcBorders>
            <w:noWrap w:val="0"/>
            <w:vAlign w:val="center"/>
          </w:tcPr>
          <w:p w14:paraId="106E2623">
            <w:pPr>
              <w:numPr>
                <w:ilvl w:val="0"/>
                <w:numId w:val="3"/>
              </w:numPr>
              <w:ind w:left="425" w:leftChars="0" w:hanging="425" w:firstLineChars="0"/>
              <w:jc w:val="center"/>
              <w:rPr>
                <w:rFonts w:hint="eastAsia" w:ascii="宋体" w:hAnsi="宋体" w:eastAsia="宋体" w:cs="宋体"/>
                <w:color w:val="auto"/>
                <w:kern w:val="2"/>
                <w:sz w:val="21"/>
                <w:szCs w:val="21"/>
                <w:lang w:val="en-US" w:eastAsia="zh-CN" w:bidi="ar-SA"/>
              </w:rPr>
            </w:pPr>
          </w:p>
        </w:tc>
        <w:tc>
          <w:tcPr>
            <w:tcW w:w="2690" w:type="dxa"/>
            <w:tcBorders>
              <w:tl2br w:val="nil"/>
              <w:tr2bl w:val="nil"/>
            </w:tcBorders>
            <w:noWrap w:val="0"/>
            <w:vAlign w:val="center"/>
          </w:tcPr>
          <w:p w14:paraId="105AB5B1">
            <w:pPr>
              <w:spacing w:line="0" w:lineRule="atLeast"/>
              <w:jc w:val="center"/>
              <w:rPr>
                <w:rFonts w:hint="eastAsia" w:ascii="宋体" w:hAnsi="宋体" w:eastAsia="宋体" w:cs="宋体"/>
                <w:color w:val="auto"/>
                <w:spacing w:val="-6"/>
                <w:sz w:val="21"/>
                <w:szCs w:val="21"/>
                <w:lang w:val="en-US" w:eastAsia="zh-CN"/>
              </w:rPr>
            </w:pPr>
            <w:r>
              <w:rPr>
                <w:rFonts w:hint="eastAsia" w:ascii="宋体" w:hAnsi="宋体" w:eastAsia="宋体" w:cs="宋体"/>
                <w:color w:val="auto"/>
                <w:spacing w:val="-6"/>
                <w:sz w:val="21"/>
                <w:szCs w:val="21"/>
                <w:lang w:val="en-US" w:eastAsia="zh-CN"/>
              </w:rPr>
              <w:t>冲击试验机</w:t>
            </w:r>
          </w:p>
        </w:tc>
        <w:tc>
          <w:tcPr>
            <w:tcW w:w="1701" w:type="dxa"/>
            <w:tcBorders>
              <w:tl2br w:val="nil"/>
              <w:tr2bl w:val="nil"/>
            </w:tcBorders>
            <w:noWrap w:val="0"/>
            <w:vAlign w:val="center"/>
          </w:tcPr>
          <w:p w14:paraId="6E2C9B49">
            <w:pPr>
              <w:spacing w:line="0" w:lineRule="atLeast"/>
              <w:jc w:val="center"/>
              <w:rPr>
                <w:rFonts w:hint="eastAsia" w:ascii="宋体" w:hAnsi="宋体" w:eastAsia="宋体" w:cs="宋体"/>
                <w:color w:val="auto"/>
                <w:spacing w:val="-6"/>
                <w:sz w:val="21"/>
                <w:szCs w:val="21"/>
                <w:lang w:val="en-US" w:eastAsia="zh-CN"/>
              </w:rPr>
            </w:pPr>
            <w:r>
              <w:rPr>
                <w:rFonts w:hint="eastAsia" w:ascii="宋体" w:hAnsi="宋体" w:eastAsia="宋体" w:cs="宋体"/>
                <w:color w:val="auto"/>
                <w:spacing w:val="-6"/>
                <w:sz w:val="21"/>
                <w:szCs w:val="21"/>
                <w:lang w:val="en-US" w:eastAsia="zh-CN"/>
              </w:rPr>
              <w:t>JB-300B</w:t>
            </w:r>
          </w:p>
        </w:tc>
        <w:tc>
          <w:tcPr>
            <w:tcW w:w="2964" w:type="dxa"/>
            <w:tcBorders>
              <w:tl2br w:val="nil"/>
              <w:tr2bl w:val="nil"/>
            </w:tcBorders>
            <w:noWrap w:val="0"/>
            <w:vAlign w:val="center"/>
          </w:tcPr>
          <w:p w14:paraId="5D873DB2">
            <w:pPr>
              <w:spacing w:line="0" w:lineRule="atLeast"/>
              <w:jc w:val="center"/>
              <w:rPr>
                <w:rFonts w:hint="eastAsia" w:ascii="宋体" w:hAnsi="宋体" w:eastAsia="宋体" w:cs="宋体"/>
                <w:color w:val="auto"/>
                <w:spacing w:val="-6"/>
                <w:sz w:val="21"/>
                <w:szCs w:val="21"/>
                <w:lang w:val="en-US" w:eastAsia="zh-CN"/>
              </w:rPr>
            </w:pPr>
            <w:r>
              <w:rPr>
                <w:rFonts w:hint="eastAsia" w:ascii="宋体" w:hAnsi="宋体" w:eastAsia="宋体" w:cs="宋体"/>
                <w:color w:val="auto"/>
                <w:spacing w:val="-6"/>
                <w:sz w:val="21"/>
                <w:szCs w:val="21"/>
                <w:lang w:val="en-US" w:eastAsia="zh-CN"/>
              </w:rPr>
              <w:t>济南恒思盛大仪器有限公司</w:t>
            </w:r>
          </w:p>
        </w:tc>
        <w:tc>
          <w:tcPr>
            <w:tcW w:w="860" w:type="dxa"/>
            <w:tcBorders>
              <w:tl2br w:val="nil"/>
              <w:tr2bl w:val="nil"/>
            </w:tcBorders>
            <w:noWrap w:val="0"/>
            <w:vAlign w:val="center"/>
          </w:tcPr>
          <w:p w14:paraId="7F3C06B6">
            <w:pPr>
              <w:spacing w:line="0" w:lineRule="atLeast"/>
              <w:jc w:val="center"/>
              <w:rPr>
                <w:rFonts w:hint="eastAsia" w:ascii="宋体" w:hAnsi="宋体" w:eastAsia="宋体" w:cs="宋体"/>
                <w:color w:val="auto"/>
                <w:spacing w:val="-6"/>
                <w:sz w:val="21"/>
                <w:szCs w:val="21"/>
                <w:lang w:val="en-US" w:eastAsia="zh-CN"/>
              </w:rPr>
            </w:pPr>
            <w:r>
              <w:rPr>
                <w:rFonts w:hint="eastAsia" w:ascii="宋体" w:hAnsi="宋体" w:eastAsia="宋体" w:cs="宋体"/>
                <w:color w:val="auto"/>
                <w:spacing w:val="-6"/>
                <w:sz w:val="21"/>
                <w:szCs w:val="21"/>
                <w:lang w:val="en-US" w:eastAsia="zh-CN"/>
              </w:rPr>
              <w:t>1</w:t>
            </w:r>
          </w:p>
        </w:tc>
      </w:tr>
      <w:tr w14:paraId="5F251FD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942" w:type="dxa"/>
            <w:tcBorders>
              <w:tl2br w:val="nil"/>
              <w:tr2bl w:val="nil"/>
            </w:tcBorders>
            <w:noWrap w:val="0"/>
            <w:vAlign w:val="center"/>
          </w:tcPr>
          <w:p w14:paraId="27B6F7F6">
            <w:pPr>
              <w:numPr>
                <w:ilvl w:val="0"/>
                <w:numId w:val="3"/>
              </w:numPr>
              <w:ind w:left="425" w:leftChars="0" w:hanging="425" w:firstLineChars="0"/>
              <w:jc w:val="center"/>
              <w:rPr>
                <w:rFonts w:hint="eastAsia" w:ascii="宋体" w:hAnsi="宋体" w:eastAsia="宋体" w:cs="宋体"/>
                <w:color w:val="auto"/>
                <w:kern w:val="2"/>
                <w:sz w:val="21"/>
                <w:szCs w:val="21"/>
                <w:lang w:val="en-US" w:eastAsia="zh-CN" w:bidi="ar-SA"/>
              </w:rPr>
            </w:pPr>
          </w:p>
        </w:tc>
        <w:tc>
          <w:tcPr>
            <w:tcW w:w="2690" w:type="dxa"/>
            <w:tcBorders>
              <w:tl2br w:val="nil"/>
              <w:tr2bl w:val="nil"/>
            </w:tcBorders>
            <w:noWrap w:val="0"/>
            <w:vAlign w:val="center"/>
          </w:tcPr>
          <w:p w14:paraId="1B0AC5D1">
            <w:pPr>
              <w:spacing w:line="0" w:lineRule="atLeast"/>
              <w:jc w:val="center"/>
              <w:rPr>
                <w:rFonts w:hint="eastAsia" w:ascii="宋体" w:hAnsi="宋体" w:eastAsia="宋体" w:cs="宋体"/>
                <w:color w:val="auto"/>
                <w:spacing w:val="-6"/>
                <w:sz w:val="21"/>
                <w:szCs w:val="21"/>
                <w:lang w:val="en-US" w:eastAsia="zh-CN"/>
              </w:rPr>
            </w:pPr>
            <w:r>
              <w:rPr>
                <w:rFonts w:hint="eastAsia" w:ascii="宋体" w:hAnsi="宋体" w:eastAsia="宋体" w:cs="宋体"/>
                <w:color w:val="auto"/>
                <w:spacing w:val="-6"/>
                <w:sz w:val="21"/>
                <w:szCs w:val="21"/>
                <w:lang w:val="en-US" w:eastAsia="zh-CN"/>
              </w:rPr>
              <w:t>半自动冲击试验机</w:t>
            </w:r>
          </w:p>
        </w:tc>
        <w:tc>
          <w:tcPr>
            <w:tcW w:w="1701" w:type="dxa"/>
            <w:tcBorders>
              <w:tl2br w:val="nil"/>
              <w:tr2bl w:val="nil"/>
            </w:tcBorders>
            <w:noWrap w:val="0"/>
            <w:vAlign w:val="center"/>
          </w:tcPr>
          <w:p w14:paraId="56B707FF">
            <w:pPr>
              <w:spacing w:line="0" w:lineRule="atLeast"/>
              <w:jc w:val="center"/>
              <w:rPr>
                <w:rFonts w:hint="eastAsia" w:ascii="宋体" w:hAnsi="宋体" w:eastAsia="宋体" w:cs="宋体"/>
                <w:color w:val="auto"/>
                <w:spacing w:val="-6"/>
                <w:sz w:val="21"/>
                <w:szCs w:val="21"/>
                <w:lang w:val="en-US" w:eastAsia="zh-CN"/>
              </w:rPr>
            </w:pPr>
            <w:r>
              <w:rPr>
                <w:rFonts w:hint="eastAsia" w:ascii="宋体" w:hAnsi="宋体" w:eastAsia="宋体" w:cs="宋体"/>
                <w:color w:val="auto"/>
                <w:spacing w:val="-6"/>
                <w:sz w:val="21"/>
                <w:szCs w:val="21"/>
                <w:lang w:val="en-US" w:eastAsia="zh-CN"/>
              </w:rPr>
              <w:t>JB-300B</w:t>
            </w:r>
          </w:p>
        </w:tc>
        <w:tc>
          <w:tcPr>
            <w:tcW w:w="2964" w:type="dxa"/>
            <w:tcBorders>
              <w:tl2br w:val="nil"/>
              <w:tr2bl w:val="nil"/>
            </w:tcBorders>
            <w:noWrap w:val="0"/>
            <w:vAlign w:val="center"/>
          </w:tcPr>
          <w:p w14:paraId="30E7045C">
            <w:pPr>
              <w:spacing w:line="0" w:lineRule="atLeast"/>
              <w:jc w:val="center"/>
              <w:rPr>
                <w:rFonts w:hint="eastAsia" w:ascii="宋体" w:hAnsi="宋体" w:eastAsia="宋体" w:cs="宋体"/>
                <w:color w:val="auto"/>
                <w:spacing w:val="-6"/>
                <w:sz w:val="21"/>
                <w:szCs w:val="21"/>
                <w:lang w:val="en-US" w:eastAsia="zh-CN"/>
              </w:rPr>
            </w:pPr>
            <w:r>
              <w:rPr>
                <w:rFonts w:hint="eastAsia" w:ascii="宋体" w:hAnsi="宋体" w:eastAsia="宋体" w:cs="宋体"/>
                <w:color w:val="auto"/>
                <w:spacing w:val="-6"/>
                <w:sz w:val="21"/>
                <w:szCs w:val="21"/>
                <w:lang w:val="en-US" w:eastAsia="zh-CN"/>
              </w:rPr>
              <w:t>济南恒恩盛大仪器有限公司</w:t>
            </w:r>
          </w:p>
        </w:tc>
        <w:tc>
          <w:tcPr>
            <w:tcW w:w="860" w:type="dxa"/>
            <w:tcBorders>
              <w:tl2br w:val="nil"/>
              <w:tr2bl w:val="nil"/>
            </w:tcBorders>
            <w:noWrap w:val="0"/>
            <w:vAlign w:val="center"/>
          </w:tcPr>
          <w:p w14:paraId="1F561536">
            <w:pPr>
              <w:spacing w:line="0" w:lineRule="atLeast"/>
              <w:jc w:val="center"/>
              <w:rPr>
                <w:rFonts w:hint="eastAsia" w:ascii="宋体" w:hAnsi="宋体" w:eastAsia="宋体" w:cs="宋体"/>
                <w:color w:val="auto"/>
                <w:spacing w:val="-6"/>
                <w:sz w:val="21"/>
                <w:szCs w:val="21"/>
                <w:lang w:val="en-US" w:eastAsia="zh-CN"/>
              </w:rPr>
            </w:pPr>
            <w:r>
              <w:rPr>
                <w:rFonts w:hint="eastAsia" w:ascii="宋体" w:hAnsi="宋体" w:eastAsia="宋体" w:cs="宋体"/>
                <w:color w:val="auto"/>
                <w:spacing w:val="-6"/>
                <w:sz w:val="21"/>
                <w:szCs w:val="21"/>
                <w:lang w:val="en-US" w:eastAsia="zh-CN"/>
              </w:rPr>
              <w:t>1</w:t>
            </w:r>
          </w:p>
        </w:tc>
      </w:tr>
      <w:tr w14:paraId="3F9B830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942" w:type="dxa"/>
            <w:tcBorders>
              <w:tl2br w:val="nil"/>
              <w:tr2bl w:val="nil"/>
            </w:tcBorders>
            <w:noWrap w:val="0"/>
            <w:vAlign w:val="center"/>
          </w:tcPr>
          <w:p w14:paraId="15714066">
            <w:pPr>
              <w:numPr>
                <w:ilvl w:val="0"/>
                <w:numId w:val="3"/>
              </w:numPr>
              <w:ind w:left="425" w:leftChars="0" w:hanging="425" w:firstLineChars="0"/>
              <w:jc w:val="center"/>
              <w:rPr>
                <w:rFonts w:hint="eastAsia" w:ascii="宋体" w:hAnsi="宋体" w:eastAsia="宋体" w:cs="宋体"/>
                <w:color w:val="auto"/>
                <w:kern w:val="2"/>
                <w:sz w:val="21"/>
                <w:szCs w:val="21"/>
                <w:lang w:val="en-US" w:eastAsia="zh-CN" w:bidi="ar-SA"/>
              </w:rPr>
            </w:pPr>
          </w:p>
        </w:tc>
        <w:tc>
          <w:tcPr>
            <w:tcW w:w="2690" w:type="dxa"/>
            <w:tcBorders>
              <w:tl2br w:val="nil"/>
              <w:tr2bl w:val="nil"/>
            </w:tcBorders>
            <w:noWrap w:val="0"/>
            <w:vAlign w:val="center"/>
          </w:tcPr>
          <w:p w14:paraId="354DC81C">
            <w:pPr>
              <w:spacing w:line="0" w:lineRule="atLeast"/>
              <w:jc w:val="center"/>
              <w:rPr>
                <w:rFonts w:hint="eastAsia" w:ascii="宋体" w:hAnsi="宋体" w:eastAsia="宋体" w:cs="宋体"/>
                <w:color w:val="auto"/>
                <w:spacing w:val="-6"/>
                <w:sz w:val="21"/>
                <w:szCs w:val="21"/>
                <w:lang w:val="en-US" w:eastAsia="zh-CN"/>
              </w:rPr>
            </w:pPr>
            <w:r>
              <w:rPr>
                <w:rFonts w:hint="eastAsia" w:ascii="宋体" w:hAnsi="宋体" w:eastAsia="宋体" w:cs="宋体"/>
                <w:color w:val="auto"/>
                <w:spacing w:val="-6"/>
                <w:sz w:val="21"/>
                <w:szCs w:val="21"/>
                <w:lang w:val="en-US" w:eastAsia="zh-CN"/>
              </w:rPr>
              <w:t>拉力试验机</w:t>
            </w:r>
          </w:p>
        </w:tc>
        <w:tc>
          <w:tcPr>
            <w:tcW w:w="1701" w:type="dxa"/>
            <w:tcBorders>
              <w:tl2br w:val="nil"/>
              <w:tr2bl w:val="nil"/>
            </w:tcBorders>
            <w:noWrap w:val="0"/>
            <w:vAlign w:val="center"/>
          </w:tcPr>
          <w:p w14:paraId="420BE844">
            <w:pPr>
              <w:spacing w:line="0" w:lineRule="atLeast"/>
              <w:jc w:val="center"/>
              <w:rPr>
                <w:rFonts w:hint="eastAsia" w:ascii="宋体" w:hAnsi="宋体" w:eastAsia="宋体" w:cs="宋体"/>
                <w:color w:val="auto"/>
                <w:spacing w:val="-6"/>
                <w:sz w:val="21"/>
                <w:szCs w:val="21"/>
                <w:lang w:val="en-US" w:eastAsia="zh-CN"/>
              </w:rPr>
            </w:pPr>
            <w:r>
              <w:rPr>
                <w:rFonts w:hint="eastAsia" w:ascii="宋体" w:hAnsi="宋体" w:eastAsia="宋体" w:cs="宋体"/>
                <w:color w:val="auto"/>
                <w:spacing w:val="-6"/>
                <w:sz w:val="21"/>
                <w:szCs w:val="21"/>
                <w:lang w:val="en-US" w:eastAsia="zh-CN"/>
              </w:rPr>
              <w:t>WEB-600B</w:t>
            </w:r>
          </w:p>
        </w:tc>
        <w:tc>
          <w:tcPr>
            <w:tcW w:w="2964" w:type="dxa"/>
            <w:tcBorders>
              <w:tl2br w:val="nil"/>
              <w:tr2bl w:val="nil"/>
            </w:tcBorders>
            <w:noWrap w:val="0"/>
            <w:vAlign w:val="center"/>
          </w:tcPr>
          <w:p w14:paraId="5DC61449">
            <w:pPr>
              <w:spacing w:line="0" w:lineRule="atLeast"/>
              <w:jc w:val="center"/>
              <w:rPr>
                <w:rFonts w:hint="eastAsia" w:ascii="宋体" w:hAnsi="宋体" w:eastAsia="宋体" w:cs="宋体"/>
                <w:color w:val="auto"/>
                <w:spacing w:val="-6"/>
                <w:sz w:val="21"/>
                <w:szCs w:val="21"/>
                <w:lang w:val="en-US" w:eastAsia="zh-CN"/>
              </w:rPr>
            </w:pPr>
            <w:r>
              <w:rPr>
                <w:rFonts w:hint="eastAsia" w:ascii="宋体" w:hAnsi="宋体" w:eastAsia="宋体" w:cs="宋体"/>
                <w:color w:val="auto"/>
                <w:spacing w:val="-6"/>
                <w:sz w:val="21"/>
                <w:szCs w:val="21"/>
                <w:lang w:val="en-US" w:eastAsia="zh-CN"/>
              </w:rPr>
              <w:t>/</w:t>
            </w:r>
          </w:p>
        </w:tc>
        <w:tc>
          <w:tcPr>
            <w:tcW w:w="860" w:type="dxa"/>
            <w:tcBorders>
              <w:tl2br w:val="nil"/>
              <w:tr2bl w:val="nil"/>
            </w:tcBorders>
            <w:noWrap w:val="0"/>
            <w:vAlign w:val="center"/>
          </w:tcPr>
          <w:p w14:paraId="1A08F822">
            <w:pPr>
              <w:spacing w:line="0" w:lineRule="atLeast"/>
              <w:jc w:val="center"/>
              <w:rPr>
                <w:rFonts w:hint="eastAsia" w:ascii="宋体" w:hAnsi="宋体" w:eastAsia="宋体" w:cs="宋体"/>
                <w:color w:val="auto"/>
                <w:spacing w:val="-6"/>
                <w:sz w:val="21"/>
                <w:szCs w:val="21"/>
                <w:lang w:val="en-US" w:eastAsia="zh-CN"/>
              </w:rPr>
            </w:pPr>
            <w:r>
              <w:rPr>
                <w:rFonts w:hint="eastAsia" w:ascii="宋体" w:hAnsi="宋体" w:eastAsia="宋体" w:cs="宋体"/>
                <w:color w:val="auto"/>
                <w:spacing w:val="-6"/>
                <w:sz w:val="21"/>
                <w:szCs w:val="21"/>
                <w:lang w:val="en-US" w:eastAsia="zh-CN"/>
              </w:rPr>
              <w:t>1</w:t>
            </w:r>
          </w:p>
        </w:tc>
      </w:tr>
      <w:tr w14:paraId="76FBEF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942" w:type="dxa"/>
            <w:tcBorders>
              <w:tl2br w:val="nil"/>
              <w:tr2bl w:val="nil"/>
            </w:tcBorders>
            <w:noWrap w:val="0"/>
            <w:vAlign w:val="center"/>
          </w:tcPr>
          <w:p w14:paraId="7B73A80B">
            <w:pPr>
              <w:numPr>
                <w:ilvl w:val="0"/>
                <w:numId w:val="3"/>
              </w:numPr>
              <w:ind w:left="425" w:leftChars="0" w:hanging="425" w:firstLineChars="0"/>
              <w:jc w:val="center"/>
              <w:rPr>
                <w:rFonts w:hint="eastAsia" w:ascii="宋体" w:hAnsi="宋体" w:eastAsia="宋体" w:cs="宋体"/>
                <w:color w:val="auto"/>
                <w:kern w:val="2"/>
                <w:sz w:val="21"/>
                <w:szCs w:val="21"/>
                <w:lang w:val="en-US" w:eastAsia="zh-CN" w:bidi="ar-SA"/>
              </w:rPr>
            </w:pPr>
          </w:p>
        </w:tc>
        <w:tc>
          <w:tcPr>
            <w:tcW w:w="2690" w:type="dxa"/>
            <w:tcBorders>
              <w:tl2br w:val="nil"/>
              <w:tr2bl w:val="nil"/>
            </w:tcBorders>
            <w:noWrap w:val="0"/>
            <w:vAlign w:val="center"/>
          </w:tcPr>
          <w:p w14:paraId="7C068CCD">
            <w:pPr>
              <w:spacing w:line="0" w:lineRule="atLeast"/>
              <w:jc w:val="center"/>
              <w:rPr>
                <w:rFonts w:hint="eastAsia" w:ascii="宋体" w:hAnsi="宋体" w:eastAsia="宋体" w:cs="宋体"/>
                <w:color w:val="auto"/>
                <w:spacing w:val="-6"/>
                <w:sz w:val="21"/>
                <w:szCs w:val="21"/>
                <w:lang w:val="en-US" w:eastAsia="zh-CN"/>
              </w:rPr>
            </w:pPr>
            <w:r>
              <w:rPr>
                <w:rFonts w:hint="eastAsia" w:ascii="宋体" w:hAnsi="宋体" w:eastAsia="宋体" w:cs="宋体"/>
                <w:color w:val="auto"/>
                <w:spacing w:val="-6"/>
                <w:sz w:val="21"/>
                <w:szCs w:val="21"/>
                <w:lang w:val="en-US" w:eastAsia="zh-CN"/>
              </w:rPr>
              <w:t>便携式里氏硬度计</w:t>
            </w:r>
          </w:p>
        </w:tc>
        <w:tc>
          <w:tcPr>
            <w:tcW w:w="1701" w:type="dxa"/>
            <w:tcBorders>
              <w:tl2br w:val="nil"/>
              <w:tr2bl w:val="nil"/>
            </w:tcBorders>
            <w:noWrap w:val="0"/>
            <w:vAlign w:val="center"/>
          </w:tcPr>
          <w:p w14:paraId="447189D8">
            <w:pPr>
              <w:spacing w:line="0" w:lineRule="atLeast"/>
              <w:jc w:val="center"/>
              <w:rPr>
                <w:rFonts w:hint="eastAsia" w:ascii="宋体" w:hAnsi="宋体" w:eastAsia="宋体" w:cs="宋体"/>
                <w:color w:val="auto"/>
                <w:spacing w:val="-6"/>
                <w:sz w:val="21"/>
                <w:szCs w:val="21"/>
                <w:lang w:val="en-US" w:eastAsia="zh-CN"/>
              </w:rPr>
            </w:pPr>
            <w:r>
              <w:rPr>
                <w:rFonts w:hint="eastAsia" w:ascii="宋体" w:hAnsi="宋体" w:eastAsia="宋体" w:cs="宋体"/>
                <w:color w:val="auto"/>
                <w:spacing w:val="-6"/>
                <w:sz w:val="21"/>
                <w:szCs w:val="21"/>
                <w:lang w:val="en-US" w:eastAsia="zh-CN"/>
              </w:rPr>
              <w:t>MH310</w:t>
            </w:r>
          </w:p>
        </w:tc>
        <w:tc>
          <w:tcPr>
            <w:tcW w:w="2964" w:type="dxa"/>
            <w:tcBorders>
              <w:tl2br w:val="nil"/>
              <w:tr2bl w:val="nil"/>
            </w:tcBorders>
            <w:noWrap w:val="0"/>
            <w:vAlign w:val="center"/>
          </w:tcPr>
          <w:p w14:paraId="30317810">
            <w:pPr>
              <w:spacing w:line="0" w:lineRule="atLeast"/>
              <w:jc w:val="center"/>
              <w:rPr>
                <w:rFonts w:hint="eastAsia" w:ascii="宋体" w:hAnsi="宋体" w:eastAsia="宋体" w:cs="宋体"/>
                <w:color w:val="auto"/>
                <w:spacing w:val="-6"/>
                <w:sz w:val="21"/>
                <w:szCs w:val="21"/>
                <w:lang w:val="en-US" w:eastAsia="zh-CN"/>
              </w:rPr>
            </w:pPr>
            <w:r>
              <w:rPr>
                <w:rFonts w:hint="eastAsia" w:ascii="宋体" w:hAnsi="宋体" w:eastAsia="宋体" w:cs="宋体"/>
                <w:color w:val="auto"/>
                <w:spacing w:val="-6"/>
                <w:sz w:val="21"/>
                <w:szCs w:val="21"/>
                <w:lang w:val="en-US" w:eastAsia="zh-CN"/>
              </w:rPr>
              <w:t>北京美泰科仪检测有限公司</w:t>
            </w:r>
          </w:p>
        </w:tc>
        <w:tc>
          <w:tcPr>
            <w:tcW w:w="860" w:type="dxa"/>
            <w:tcBorders>
              <w:tl2br w:val="nil"/>
              <w:tr2bl w:val="nil"/>
            </w:tcBorders>
            <w:noWrap w:val="0"/>
            <w:vAlign w:val="center"/>
          </w:tcPr>
          <w:p w14:paraId="13F1ADB9">
            <w:pPr>
              <w:spacing w:line="0" w:lineRule="atLeast"/>
              <w:jc w:val="center"/>
              <w:rPr>
                <w:rFonts w:hint="eastAsia" w:ascii="宋体" w:hAnsi="宋体" w:eastAsia="宋体" w:cs="宋体"/>
                <w:color w:val="auto"/>
                <w:spacing w:val="-6"/>
                <w:sz w:val="21"/>
                <w:szCs w:val="21"/>
                <w:lang w:val="en-US" w:eastAsia="zh-CN"/>
              </w:rPr>
            </w:pPr>
            <w:r>
              <w:rPr>
                <w:rFonts w:hint="eastAsia" w:ascii="宋体" w:hAnsi="宋体" w:eastAsia="宋体" w:cs="宋体"/>
                <w:color w:val="auto"/>
                <w:spacing w:val="-6"/>
                <w:sz w:val="21"/>
                <w:szCs w:val="21"/>
                <w:lang w:val="en-US" w:eastAsia="zh-CN"/>
              </w:rPr>
              <w:t>1</w:t>
            </w:r>
          </w:p>
        </w:tc>
      </w:tr>
      <w:tr w14:paraId="430AC87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8" w:hRule="atLeast"/>
          <w:jc w:val="center"/>
        </w:trPr>
        <w:tc>
          <w:tcPr>
            <w:tcW w:w="942" w:type="dxa"/>
            <w:tcBorders>
              <w:tl2br w:val="nil"/>
              <w:tr2bl w:val="nil"/>
            </w:tcBorders>
            <w:noWrap w:val="0"/>
            <w:vAlign w:val="center"/>
          </w:tcPr>
          <w:p w14:paraId="444018F8">
            <w:pPr>
              <w:numPr>
                <w:ilvl w:val="0"/>
                <w:numId w:val="3"/>
              </w:numPr>
              <w:ind w:left="425" w:leftChars="0" w:hanging="425" w:firstLineChars="0"/>
              <w:jc w:val="center"/>
              <w:rPr>
                <w:rFonts w:hint="eastAsia" w:ascii="宋体" w:hAnsi="宋体" w:eastAsia="宋体" w:cs="宋体"/>
                <w:color w:val="auto"/>
                <w:kern w:val="2"/>
                <w:sz w:val="21"/>
                <w:szCs w:val="21"/>
                <w:lang w:val="en-US" w:eastAsia="zh-CN" w:bidi="ar-SA"/>
              </w:rPr>
            </w:pPr>
          </w:p>
        </w:tc>
        <w:tc>
          <w:tcPr>
            <w:tcW w:w="2690" w:type="dxa"/>
            <w:tcBorders>
              <w:tl2br w:val="nil"/>
              <w:tr2bl w:val="nil"/>
            </w:tcBorders>
            <w:noWrap w:val="0"/>
            <w:vAlign w:val="center"/>
          </w:tcPr>
          <w:p w14:paraId="03C8AC22">
            <w:pPr>
              <w:spacing w:line="0" w:lineRule="atLeast"/>
              <w:jc w:val="center"/>
              <w:rPr>
                <w:rFonts w:hint="eastAsia" w:ascii="宋体" w:hAnsi="宋体" w:eastAsia="宋体" w:cs="宋体"/>
                <w:color w:val="auto"/>
                <w:spacing w:val="-6"/>
                <w:sz w:val="21"/>
                <w:szCs w:val="21"/>
                <w:lang w:val="en-US" w:eastAsia="zh-CN"/>
              </w:rPr>
            </w:pPr>
            <w:r>
              <w:rPr>
                <w:rFonts w:hint="eastAsia" w:ascii="宋体" w:hAnsi="宋体" w:eastAsia="宋体" w:cs="宋体"/>
                <w:color w:val="auto"/>
                <w:spacing w:val="-6"/>
                <w:sz w:val="21"/>
                <w:szCs w:val="21"/>
                <w:lang w:val="en-US" w:eastAsia="zh-CN"/>
              </w:rPr>
              <w:t>洛氏硬度计</w:t>
            </w:r>
          </w:p>
        </w:tc>
        <w:tc>
          <w:tcPr>
            <w:tcW w:w="1701" w:type="dxa"/>
            <w:tcBorders>
              <w:tl2br w:val="nil"/>
              <w:tr2bl w:val="nil"/>
            </w:tcBorders>
            <w:noWrap w:val="0"/>
            <w:vAlign w:val="center"/>
          </w:tcPr>
          <w:p w14:paraId="7EE49967">
            <w:pPr>
              <w:spacing w:line="0" w:lineRule="atLeast"/>
              <w:jc w:val="center"/>
              <w:rPr>
                <w:rFonts w:hint="eastAsia" w:ascii="宋体" w:hAnsi="宋体" w:eastAsia="宋体" w:cs="宋体"/>
                <w:color w:val="auto"/>
                <w:spacing w:val="-6"/>
                <w:sz w:val="21"/>
                <w:szCs w:val="21"/>
                <w:lang w:val="en-US" w:eastAsia="zh-CN"/>
              </w:rPr>
            </w:pPr>
            <w:r>
              <w:rPr>
                <w:rFonts w:hint="eastAsia" w:ascii="宋体" w:hAnsi="宋体" w:eastAsia="宋体" w:cs="宋体"/>
                <w:color w:val="auto"/>
                <w:spacing w:val="-6"/>
                <w:sz w:val="21"/>
                <w:szCs w:val="21"/>
                <w:lang w:val="en-US" w:eastAsia="zh-CN"/>
              </w:rPr>
              <w:t>HR-150A</w:t>
            </w:r>
          </w:p>
        </w:tc>
        <w:tc>
          <w:tcPr>
            <w:tcW w:w="2964" w:type="dxa"/>
            <w:tcBorders>
              <w:tl2br w:val="nil"/>
              <w:tr2bl w:val="nil"/>
            </w:tcBorders>
            <w:noWrap w:val="0"/>
            <w:vAlign w:val="center"/>
          </w:tcPr>
          <w:p w14:paraId="7066BE8C">
            <w:pPr>
              <w:spacing w:line="0" w:lineRule="atLeast"/>
              <w:jc w:val="center"/>
              <w:rPr>
                <w:rFonts w:hint="eastAsia" w:ascii="宋体" w:hAnsi="宋体" w:eastAsia="宋体" w:cs="宋体"/>
                <w:color w:val="auto"/>
                <w:spacing w:val="-6"/>
                <w:sz w:val="21"/>
                <w:szCs w:val="21"/>
                <w:lang w:val="en-US" w:eastAsia="zh-CN"/>
              </w:rPr>
            </w:pPr>
            <w:r>
              <w:rPr>
                <w:rFonts w:hint="eastAsia" w:ascii="宋体" w:hAnsi="宋体" w:eastAsia="宋体" w:cs="宋体"/>
                <w:color w:val="auto"/>
                <w:spacing w:val="-6"/>
                <w:sz w:val="21"/>
                <w:szCs w:val="21"/>
                <w:lang w:val="en-US" w:eastAsia="zh-CN"/>
              </w:rPr>
              <w:t>山东莱州市</w:t>
            </w:r>
          </w:p>
        </w:tc>
        <w:tc>
          <w:tcPr>
            <w:tcW w:w="860" w:type="dxa"/>
            <w:tcBorders>
              <w:tl2br w:val="nil"/>
              <w:tr2bl w:val="nil"/>
            </w:tcBorders>
            <w:noWrap w:val="0"/>
            <w:vAlign w:val="center"/>
          </w:tcPr>
          <w:p w14:paraId="40CCB644">
            <w:pPr>
              <w:spacing w:line="0" w:lineRule="atLeast"/>
              <w:jc w:val="center"/>
              <w:rPr>
                <w:rFonts w:hint="eastAsia" w:ascii="宋体" w:hAnsi="宋体" w:eastAsia="宋体" w:cs="宋体"/>
                <w:color w:val="auto"/>
                <w:spacing w:val="-6"/>
                <w:sz w:val="21"/>
                <w:szCs w:val="21"/>
                <w:lang w:val="en-US" w:eastAsia="zh-CN"/>
              </w:rPr>
            </w:pPr>
            <w:r>
              <w:rPr>
                <w:rFonts w:hint="eastAsia" w:ascii="宋体" w:hAnsi="宋体" w:eastAsia="宋体" w:cs="宋体"/>
                <w:color w:val="auto"/>
                <w:spacing w:val="-6"/>
                <w:sz w:val="21"/>
                <w:szCs w:val="21"/>
                <w:lang w:val="en-US" w:eastAsia="zh-CN"/>
              </w:rPr>
              <w:t>1</w:t>
            </w:r>
          </w:p>
        </w:tc>
      </w:tr>
      <w:tr w14:paraId="69708DE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942" w:type="dxa"/>
            <w:tcBorders>
              <w:tl2br w:val="nil"/>
              <w:tr2bl w:val="nil"/>
            </w:tcBorders>
            <w:noWrap w:val="0"/>
            <w:vAlign w:val="center"/>
          </w:tcPr>
          <w:p w14:paraId="44F7B4AC">
            <w:pPr>
              <w:numPr>
                <w:ilvl w:val="0"/>
                <w:numId w:val="3"/>
              </w:numPr>
              <w:ind w:left="425" w:leftChars="0" w:hanging="425" w:firstLineChars="0"/>
              <w:jc w:val="center"/>
              <w:rPr>
                <w:rFonts w:hint="eastAsia" w:ascii="宋体" w:hAnsi="宋体" w:eastAsia="宋体" w:cs="宋体"/>
                <w:color w:val="auto"/>
                <w:kern w:val="2"/>
                <w:sz w:val="21"/>
                <w:szCs w:val="21"/>
                <w:lang w:val="en-US" w:eastAsia="zh-CN" w:bidi="ar-SA"/>
              </w:rPr>
            </w:pPr>
          </w:p>
        </w:tc>
        <w:tc>
          <w:tcPr>
            <w:tcW w:w="2690" w:type="dxa"/>
            <w:tcBorders>
              <w:tl2br w:val="nil"/>
              <w:tr2bl w:val="nil"/>
            </w:tcBorders>
            <w:noWrap w:val="0"/>
            <w:vAlign w:val="center"/>
          </w:tcPr>
          <w:p w14:paraId="23653615">
            <w:pPr>
              <w:spacing w:line="0" w:lineRule="atLeast"/>
              <w:jc w:val="center"/>
              <w:rPr>
                <w:rFonts w:hint="eastAsia" w:ascii="宋体" w:hAnsi="宋体" w:eastAsia="宋体" w:cs="宋体"/>
                <w:color w:val="auto"/>
                <w:spacing w:val="-6"/>
                <w:sz w:val="21"/>
                <w:szCs w:val="21"/>
                <w:lang w:val="en-US" w:eastAsia="zh-CN"/>
              </w:rPr>
            </w:pPr>
            <w:r>
              <w:rPr>
                <w:rFonts w:hint="eastAsia" w:ascii="宋体" w:hAnsi="宋体" w:eastAsia="宋体" w:cs="宋体"/>
                <w:color w:val="auto"/>
                <w:spacing w:val="-6"/>
                <w:sz w:val="21"/>
                <w:szCs w:val="21"/>
                <w:lang w:val="en-US" w:eastAsia="zh-CN"/>
              </w:rPr>
              <w:t>超声波探伤仪</w:t>
            </w:r>
          </w:p>
        </w:tc>
        <w:tc>
          <w:tcPr>
            <w:tcW w:w="1701" w:type="dxa"/>
            <w:tcBorders>
              <w:tl2br w:val="nil"/>
              <w:tr2bl w:val="nil"/>
            </w:tcBorders>
            <w:noWrap w:val="0"/>
            <w:vAlign w:val="center"/>
          </w:tcPr>
          <w:p w14:paraId="63260B8F">
            <w:pPr>
              <w:spacing w:line="0" w:lineRule="atLeast"/>
              <w:jc w:val="center"/>
              <w:rPr>
                <w:rFonts w:hint="eastAsia" w:ascii="宋体" w:hAnsi="宋体" w:eastAsia="宋体" w:cs="宋体"/>
                <w:color w:val="auto"/>
                <w:spacing w:val="-6"/>
                <w:sz w:val="21"/>
                <w:szCs w:val="21"/>
                <w:lang w:val="en-US" w:eastAsia="zh-CN"/>
              </w:rPr>
            </w:pPr>
            <w:r>
              <w:rPr>
                <w:rFonts w:hint="eastAsia" w:ascii="宋体" w:hAnsi="宋体" w:eastAsia="宋体" w:cs="宋体"/>
                <w:color w:val="auto"/>
                <w:spacing w:val="-6"/>
                <w:sz w:val="21"/>
                <w:szCs w:val="21"/>
                <w:lang w:val="en-US" w:eastAsia="zh-CN"/>
              </w:rPr>
              <w:t>SCNDT-360</w:t>
            </w:r>
          </w:p>
        </w:tc>
        <w:tc>
          <w:tcPr>
            <w:tcW w:w="2964" w:type="dxa"/>
            <w:tcBorders>
              <w:tl2br w:val="nil"/>
              <w:tr2bl w:val="nil"/>
            </w:tcBorders>
            <w:noWrap w:val="0"/>
            <w:vAlign w:val="center"/>
          </w:tcPr>
          <w:p w14:paraId="353F54D5">
            <w:pPr>
              <w:spacing w:line="0" w:lineRule="atLeast"/>
              <w:jc w:val="center"/>
              <w:rPr>
                <w:rFonts w:hint="eastAsia" w:ascii="宋体" w:hAnsi="宋体" w:eastAsia="宋体" w:cs="宋体"/>
                <w:color w:val="auto"/>
                <w:spacing w:val="-6"/>
                <w:sz w:val="21"/>
                <w:szCs w:val="21"/>
                <w:lang w:val="en-US" w:eastAsia="zh-CN"/>
              </w:rPr>
            </w:pPr>
            <w:r>
              <w:rPr>
                <w:rFonts w:hint="eastAsia" w:ascii="宋体" w:hAnsi="宋体" w:eastAsia="宋体" w:cs="宋体"/>
                <w:color w:val="auto"/>
                <w:spacing w:val="-6"/>
                <w:sz w:val="21"/>
                <w:szCs w:val="21"/>
                <w:lang w:val="en-US" w:eastAsia="zh-CN"/>
              </w:rPr>
              <w:t>上海世成仪器科技有限公司</w:t>
            </w:r>
          </w:p>
        </w:tc>
        <w:tc>
          <w:tcPr>
            <w:tcW w:w="860" w:type="dxa"/>
            <w:tcBorders>
              <w:tl2br w:val="nil"/>
              <w:tr2bl w:val="nil"/>
            </w:tcBorders>
            <w:noWrap w:val="0"/>
            <w:vAlign w:val="center"/>
          </w:tcPr>
          <w:p w14:paraId="76BDEDB6">
            <w:pPr>
              <w:spacing w:line="0" w:lineRule="atLeast"/>
              <w:jc w:val="center"/>
              <w:rPr>
                <w:rFonts w:hint="eastAsia" w:ascii="宋体" w:hAnsi="宋体" w:eastAsia="宋体" w:cs="宋体"/>
                <w:color w:val="auto"/>
                <w:spacing w:val="-6"/>
                <w:sz w:val="21"/>
                <w:szCs w:val="21"/>
                <w:lang w:val="en-US" w:eastAsia="zh-CN"/>
              </w:rPr>
            </w:pPr>
            <w:r>
              <w:rPr>
                <w:rFonts w:hint="eastAsia" w:ascii="宋体" w:hAnsi="宋体" w:eastAsia="宋体" w:cs="宋体"/>
                <w:color w:val="auto"/>
                <w:spacing w:val="-6"/>
                <w:sz w:val="21"/>
                <w:szCs w:val="21"/>
                <w:lang w:val="en-US" w:eastAsia="zh-CN"/>
              </w:rPr>
              <w:t>1</w:t>
            </w:r>
          </w:p>
        </w:tc>
      </w:tr>
      <w:tr w14:paraId="7718CF4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942" w:type="dxa"/>
            <w:tcBorders>
              <w:tl2br w:val="nil"/>
              <w:tr2bl w:val="nil"/>
            </w:tcBorders>
            <w:noWrap w:val="0"/>
            <w:vAlign w:val="center"/>
          </w:tcPr>
          <w:p w14:paraId="6F8E869B">
            <w:pPr>
              <w:numPr>
                <w:ilvl w:val="0"/>
                <w:numId w:val="3"/>
              </w:numPr>
              <w:ind w:left="425" w:leftChars="0" w:hanging="425" w:firstLineChars="0"/>
              <w:jc w:val="center"/>
              <w:rPr>
                <w:rFonts w:hint="eastAsia" w:ascii="宋体" w:hAnsi="宋体" w:eastAsia="宋体" w:cs="宋体"/>
                <w:color w:val="auto"/>
                <w:kern w:val="2"/>
                <w:sz w:val="21"/>
                <w:szCs w:val="21"/>
                <w:lang w:val="en-US" w:eastAsia="zh-CN" w:bidi="ar-SA"/>
              </w:rPr>
            </w:pPr>
          </w:p>
        </w:tc>
        <w:tc>
          <w:tcPr>
            <w:tcW w:w="2690" w:type="dxa"/>
            <w:tcBorders>
              <w:tl2br w:val="nil"/>
              <w:tr2bl w:val="nil"/>
            </w:tcBorders>
            <w:noWrap w:val="0"/>
            <w:vAlign w:val="center"/>
          </w:tcPr>
          <w:p w14:paraId="338FC216">
            <w:pPr>
              <w:spacing w:line="0" w:lineRule="atLeast"/>
              <w:jc w:val="center"/>
              <w:rPr>
                <w:rFonts w:hint="eastAsia" w:ascii="宋体" w:hAnsi="宋体" w:eastAsia="宋体" w:cs="宋体"/>
                <w:color w:val="auto"/>
                <w:spacing w:val="-6"/>
                <w:sz w:val="21"/>
                <w:szCs w:val="21"/>
                <w:lang w:val="en-US" w:eastAsia="zh-CN"/>
              </w:rPr>
            </w:pPr>
            <w:r>
              <w:rPr>
                <w:rFonts w:hint="eastAsia" w:ascii="宋体" w:hAnsi="宋体" w:eastAsia="宋体" w:cs="宋体"/>
                <w:color w:val="auto"/>
                <w:spacing w:val="-6"/>
                <w:sz w:val="21"/>
                <w:szCs w:val="21"/>
                <w:lang w:val="en-US" w:eastAsia="zh-CN"/>
              </w:rPr>
              <w:t>超声波测厚仪</w:t>
            </w:r>
          </w:p>
        </w:tc>
        <w:tc>
          <w:tcPr>
            <w:tcW w:w="1701" w:type="dxa"/>
            <w:tcBorders>
              <w:tl2br w:val="nil"/>
              <w:tr2bl w:val="nil"/>
            </w:tcBorders>
            <w:noWrap w:val="0"/>
            <w:vAlign w:val="center"/>
          </w:tcPr>
          <w:p w14:paraId="76CA294A">
            <w:pPr>
              <w:spacing w:line="0" w:lineRule="atLeast"/>
              <w:jc w:val="center"/>
              <w:rPr>
                <w:rFonts w:hint="eastAsia" w:ascii="宋体" w:hAnsi="宋体" w:eastAsia="宋体" w:cs="宋体"/>
                <w:color w:val="auto"/>
                <w:spacing w:val="-6"/>
                <w:sz w:val="21"/>
                <w:szCs w:val="21"/>
                <w:lang w:val="en-US" w:eastAsia="zh-CN"/>
              </w:rPr>
            </w:pPr>
            <w:r>
              <w:rPr>
                <w:rFonts w:hint="eastAsia" w:ascii="宋体" w:hAnsi="宋体" w:eastAsia="宋体" w:cs="宋体"/>
                <w:color w:val="auto"/>
                <w:spacing w:val="-6"/>
                <w:sz w:val="21"/>
                <w:szCs w:val="21"/>
                <w:lang w:val="en-US" w:eastAsia="zh-CN"/>
              </w:rPr>
              <w:t>XT200</w:t>
            </w:r>
          </w:p>
        </w:tc>
        <w:tc>
          <w:tcPr>
            <w:tcW w:w="2964" w:type="dxa"/>
            <w:tcBorders>
              <w:tl2br w:val="nil"/>
              <w:tr2bl w:val="nil"/>
            </w:tcBorders>
            <w:noWrap w:val="0"/>
            <w:vAlign w:val="center"/>
          </w:tcPr>
          <w:p w14:paraId="7C674C87">
            <w:pPr>
              <w:spacing w:line="0" w:lineRule="atLeast"/>
              <w:jc w:val="center"/>
              <w:rPr>
                <w:rFonts w:hint="eastAsia" w:ascii="宋体" w:hAnsi="宋体" w:eastAsia="宋体" w:cs="宋体"/>
                <w:color w:val="auto"/>
                <w:spacing w:val="-6"/>
                <w:sz w:val="21"/>
                <w:szCs w:val="21"/>
                <w:lang w:val="en-US" w:eastAsia="zh-CN"/>
              </w:rPr>
            </w:pPr>
            <w:r>
              <w:rPr>
                <w:rFonts w:hint="eastAsia" w:ascii="宋体" w:hAnsi="宋体" w:eastAsia="宋体" w:cs="宋体"/>
                <w:color w:val="auto"/>
                <w:spacing w:val="-6"/>
                <w:sz w:val="21"/>
                <w:szCs w:val="21"/>
                <w:lang w:val="en-US" w:eastAsia="zh-CN"/>
              </w:rPr>
              <w:t>上海世成仪器</w:t>
            </w:r>
          </w:p>
        </w:tc>
        <w:tc>
          <w:tcPr>
            <w:tcW w:w="860" w:type="dxa"/>
            <w:tcBorders>
              <w:tl2br w:val="nil"/>
              <w:tr2bl w:val="nil"/>
            </w:tcBorders>
            <w:noWrap w:val="0"/>
            <w:vAlign w:val="center"/>
          </w:tcPr>
          <w:p w14:paraId="0FB77840">
            <w:pPr>
              <w:spacing w:line="0" w:lineRule="atLeast"/>
              <w:jc w:val="center"/>
              <w:rPr>
                <w:rFonts w:hint="eastAsia" w:ascii="宋体" w:hAnsi="宋体" w:eastAsia="宋体" w:cs="宋体"/>
                <w:color w:val="auto"/>
                <w:spacing w:val="-6"/>
                <w:sz w:val="21"/>
                <w:szCs w:val="21"/>
                <w:lang w:val="en-US" w:eastAsia="zh-CN"/>
              </w:rPr>
            </w:pPr>
            <w:r>
              <w:rPr>
                <w:rFonts w:hint="eastAsia" w:ascii="宋体" w:hAnsi="宋体" w:eastAsia="宋体" w:cs="宋体"/>
                <w:color w:val="auto"/>
                <w:spacing w:val="-6"/>
                <w:sz w:val="21"/>
                <w:szCs w:val="21"/>
                <w:lang w:val="en-US" w:eastAsia="zh-CN"/>
              </w:rPr>
              <w:t>1</w:t>
            </w:r>
          </w:p>
        </w:tc>
      </w:tr>
      <w:tr w14:paraId="2B5105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942" w:type="dxa"/>
            <w:tcBorders>
              <w:tl2br w:val="nil"/>
              <w:tr2bl w:val="nil"/>
            </w:tcBorders>
            <w:noWrap w:val="0"/>
            <w:vAlign w:val="center"/>
          </w:tcPr>
          <w:p w14:paraId="1B65BF99">
            <w:pPr>
              <w:numPr>
                <w:ilvl w:val="0"/>
                <w:numId w:val="3"/>
              </w:numPr>
              <w:ind w:left="425" w:leftChars="0" w:hanging="425" w:firstLineChars="0"/>
              <w:jc w:val="center"/>
              <w:rPr>
                <w:rFonts w:hint="eastAsia" w:ascii="宋体" w:hAnsi="宋体" w:eastAsia="宋体" w:cs="宋体"/>
                <w:color w:val="auto"/>
                <w:kern w:val="2"/>
                <w:sz w:val="21"/>
                <w:szCs w:val="21"/>
                <w:lang w:val="en-US" w:eastAsia="zh-CN" w:bidi="ar-SA"/>
              </w:rPr>
            </w:pPr>
          </w:p>
        </w:tc>
        <w:tc>
          <w:tcPr>
            <w:tcW w:w="2690" w:type="dxa"/>
            <w:tcBorders>
              <w:tl2br w:val="nil"/>
              <w:tr2bl w:val="nil"/>
            </w:tcBorders>
            <w:noWrap w:val="0"/>
            <w:vAlign w:val="center"/>
          </w:tcPr>
          <w:p w14:paraId="5343DD1F">
            <w:pPr>
              <w:spacing w:line="0" w:lineRule="atLeast"/>
              <w:jc w:val="center"/>
              <w:rPr>
                <w:rFonts w:hint="eastAsia" w:ascii="宋体" w:hAnsi="宋体" w:eastAsia="宋体" w:cs="宋体"/>
                <w:color w:val="auto"/>
                <w:spacing w:val="-6"/>
                <w:sz w:val="21"/>
                <w:szCs w:val="21"/>
                <w:lang w:val="en-US" w:eastAsia="zh-CN"/>
              </w:rPr>
            </w:pPr>
            <w:r>
              <w:rPr>
                <w:rFonts w:hint="eastAsia" w:ascii="宋体" w:hAnsi="宋体" w:eastAsia="宋体" w:cs="宋体"/>
                <w:color w:val="auto"/>
                <w:spacing w:val="-6"/>
                <w:sz w:val="21"/>
                <w:szCs w:val="21"/>
                <w:lang w:val="en-US" w:eastAsia="zh-CN"/>
              </w:rPr>
              <w:t>三维坐标仪</w:t>
            </w:r>
          </w:p>
        </w:tc>
        <w:tc>
          <w:tcPr>
            <w:tcW w:w="1701" w:type="dxa"/>
            <w:tcBorders>
              <w:tl2br w:val="nil"/>
              <w:tr2bl w:val="nil"/>
            </w:tcBorders>
            <w:noWrap w:val="0"/>
            <w:vAlign w:val="center"/>
          </w:tcPr>
          <w:p w14:paraId="11BEDC1A">
            <w:pPr>
              <w:spacing w:line="0" w:lineRule="atLeast"/>
              <w:jc w:val="center"/>
              <w:rPr>
                <w:rFonts w:hint="eastAsia" w:ascii="宋体" w:hAnsi="宋体" w:eastAsia="宋体" w:cs="宋体"/>
                <w:color w:val="auto"/>
                <w:spacing w:val="-6"/>
                <w:sz w:val="21"/>
                <w:szCs w:val="21"/>
                <w:lang w:val="en-US" w:eastAsia="zh-CN"/>
              </w:rPr>
            </w:pPr>
            <w:r>
              <w:rPr>
                <w:rFonts w:hint="eastAsia" w:ascii="宋体" w:hAnsi="宋体" w:eastAsia="宋体" w:cs="宋体"/>
                <w:color w:val="auto"/>
                <w:spacing w:val="-6"/>
                <w:sz w:val="21"/>
                <w:szCs w:val="21"/>
                <w:lang w:val="en-US" w:eastAsia="zh-CN"/>
              </w:rPr>
              <w:t>SN-2015-0602</w:t>
            </w:r>
          </w:p>
        </w:tc>
        <w:tc>
          <w:tcPr>
            <w:tcW w:w="2964" w:type="dxa"/>
            <w:tcBorders>
              <w:tl2br w:val="nil"/>
              <w:tr2bl w:val="nil"/>
            </w:tcBorders>
            <w:noWrap w:val="0"/>
            <w:vAlign w:val="center"/>
          </w:tcPr>
          <w:p w14:paraId="5C35FEBF">
            <w:pPr>
              <w:spacing w:line="0" w:lineRule="atLeast"/>
              <w:jc w:val="center"/>
              <w:rPr>
                <w:rFonts w:hint="eastAsia" w:ascii="宋体" w:hAnsi="宋体" w:eastAsia="宋体" w:cs="宋体"/>
                <w:color w:val="auto"/>
                <w:spacing w:val="-6"/>
                <w:sz w:val="21"/>
                <w:szCs w:val="21"/>
                <w:lang w:val="en-US" w:eastAsia="zh-CN"/>
              </w:rPr>
            </w:pPr>
            <w:r>
              <w:rPr>
                <w:rFonts w:hint="eastAsia" w:ascii="宋体" w:hAnsi="宋体" w:eastAsia="宋体" w:cs="宋体"/>
                <w:color w:val="auto"/>
                <w:spacing w:val="-6"/>
                <w:sz w:val="21"/>
                <w:szCs w:val="21"/>
                <w:lang w:val="en-US" w:eastAsia="zh-CN"/>
              </w:rPr>
              <w:t>SATA</w:t>
            </w:r>
          </w:p>
        </w:tc>
        <w:tc>
          <w:tcPr>
            <w:tcW w:w="860" w:type="dxa"/>
            <w:tcBorders>
              <w:tl2br w:val="nil"/>
              <w:tr2bl w:val="nil"/>
            </w:tcBorders>
            <w:noWrap w:val="0"/>
            <w:vAlign w:val="center"/>
          </w:tcPr>
          <w:p w14:paraId="4C7B0243">
            <w:pPr>
              <w:spacing w:line="0" w:lineRule="atLeast"/>
              <w:jc w:val="center"/>
              <w:rPr>
                <w:rFonts w:hint="eastAsia" w:ascii="宋体" w:hAnsi="宋体" w:eastAsia="宋体" w:cs="宋体"/>
                <w:color w:val="auto"/>
                <w:spacing w:val="-6"/>
                <w:sz w:val="21"/>
                <w:szCs w:val="21"/>
                <w:lang w:val="en-US" w:eastAsia="zh-CN"/>
              </w:rPr>
            </w:pPr>
            <w:r>
              <w:rPr>
                <w:rFonts w:hint="eastAsia" w:ascii="宋体" w:hAnsi="宋体" w:eastAsia="宋体" w:cs="宋体"/>
                <w:color w:val="auto"/>
                <w:spacing w:val="-6"/>
                <w:sz w:val="21"/>
                <w:szCs w:val="21"/>
                <w:lang w:val="en-US" w:eastAsia="zh-CN"/>
              </w:rPr>
              <w:t>1</w:t>
            </w:r>
          </w:p>
        </w:tc>
      </w:tr>
      <w:tr w14:paraId="4418D41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942" w:type="dxa"/>
            <w:tcBorders>
              <w:tl2br w:val="nil"/>
              <w:tr2bl w:val="nil"/>
            </w:tcBorders>
            <w:noWrap w:val="0"/>
            <w:vAlign w:val="center"/>
          </w:tcPr>
          <w:p w14:paraId="1D36E404">
            <w:pPr>
              <w:numPr>
                <w:ilvl w:val="0"/>
                <w:numId w:val="3"/>
              </w:numPr>
              <w:ind w:left="425" w:leftChars="0" w:hanging="425" w:firstLineChars="0"/>
              <w:jc w:val="center"/>
              <w:rPr>
                <w:rFonts w:hint="eastAsia" w:ascii="宋体" w:hAnsi="宋体" w:eastAsia="宋体" w:cs="宋体"/>
                <w:color w:val="auto"/>
                <w:kern w:val="2"/>
                <w:sz w:val="21"/>
                <w:szCs w:val="21"/>
                <w:lang w:val="en-US" w:eastAsia="zh-CN" w:bidi="ar-SA"/>
              </w:rPr>
            </w:pPr>
          </w:p>
        </w:tc>
        <w:tc>
          <w:tcPr>
            <w:tcW w:w="2690" w:type="dxa"/>
            <w:tcBorders>
              <w:tl2br w:val="nil"/>
              <w:tr2bl w:val="nil"/>
            </w:tcBorders>
            <w:noWrap w:val="0"/>
            <w:vAlign w:val="center"/>
          </w:tcPr>
          <w:p w14:paraId="37DE0177">
            <w:pPr>
              <w:spacing w:line="0" w:lineRule="atLeast"/>
              <w:jc w:val="center"/>
              <w:rPr>
                <w:rFonts w:hint="eastAsia" w:ascii="宋体" w:hAnsi="宋体" w:eastAsia="宋体" w:cs="宋体"/>
                <w:color w:val="auto"/>
                <w:spacing w:val="-6"/>
                <w:sz w:val="21"/>
                <w:szCs w:val="21"/>
                <w:lang w:val="en-US" w:eastAsia="zh-CN"/>
              </w:rPr>
            </w:pPr>
            <w:r>
              <w:rPr>
                <w:rFonts w:hint="eastAsia" w:ascii="宋体" w:hAnsi="宋体" w:eastAsia="宋体" w:cs="宋体"/>
                <w:color w:val="auto"/>
                <w:spacing w:val="-6"/>
                <w:sz w:val="21"/>
                <w:szCs w:val="21"/>
                <w:lang w:val="en-US" w:eastAsia="zh-CN"/>
              </w:rPr>
              <w:t>寿命试验机</w:t>
            </w:r>
          </w:p>
        </w:tc>
        <w:tc>
          <w:tcPr>
            <w:tcW w:w="1701" w:type="dxa"/>
            <w:tcBorders>
              <w:tl2br w:val="nil"/>
              <w:tr2bl w:val="nil"/>
            </w:tcBorders>
            <w:noWrap w:val="0"/>
            <w:vAlign w:val="center"/>
          </w:tcPr>
          <w:p w14:paraId="04C71ADA">
            <w:pPr>
              <w:spacing w:line="0" w:lineRule="atLeast"/>
              <w:jc w:val="center"/>
              <w:rPr>
                <w:rFonts w:hint="eastAsia" w:ascii="宋体" w:hAnsi="宋体" w:eastAsia="宋体" w:cs="宋体"/>
                <w:color w:val="auto"/>
                <w:spacing w:val="-6"/>
                <w:sz w:val="21"/>
                <w:szCs w:val="21"/>
                <w:lang w:val="en-US" w:eastAsia="zh-CN"/>
              </w:rPr>
            </w:pPr>
            <w:r>
              <w:rPr>
                <w:rFonts w:hint="eastAsia" w:ascii="宋体" w:hAnsi="宋体" w:eastAsia="宋体" w:cs="宋体"/>
                <w:color w:val="auto"/>
                <w:spacing w:val="-6"/>
                <w:sz w:val="21"/>
                <w:szCs w:val="21"/>
                <w:lang w:val="en-US" w:eastAsia="zh-CN"/>
              </w:rPr>
              <w:t>GA-0701</w:t>
            </w:r>
          </w:p>
        </w:tc>
        <w:tc>
          <w:tcPr>
            <w:tcW w:w="2964" w:type="dxa"/>
            <w:tcBorders>
              <w:tl2br w:val="nil"/>
              <w:tr2bl w:val="nil"/>
            </w:tcBorders>
            <w:noWrap w:val="0"/>
            <w:vAlign w:val="center"/>
          </w:tcPr>
          <w:p w14:paraId="7DBF7767">
            <w:pPr>
              <w:spacing w:line="0" w:lineRule="atLeast"/>
              <w:jc w:val="center"/>
              <w:rPr>
                <w:rFonts w:hint="eastAsia" w:ascii="宋体" w:hAnsi="宋体" w:eastAsia="宋体" w:cs="宋体"/>
                <w:color w:val="auto"/>
                <w:spacing w:val="-6"/>
                <w:sz w:val="21"/>
                <w:szCs w:val="21"/>
                <w:lang w:val="en-US" w:eastAsia="zh-CN"/>
              </w:rPr>
            </w:pPr>
            <w:r>
              <w:rPr>
                <w:rFonts w:hint="eastAsia" w:ascii="宋体" w:hAnsi="宋体" w:eastAsia="宋体" w:cs="宋体"/>
                <w:color w:val="auto"/>
                <w:spacing w:val="-6"/>
                <w:sz w:val="21"/>
                <w:szCs w:val="21"/>
                <w:lang w:val="en-US" w:eastAsia="zh-CN"/>
              </w:rPr>
              <w:t>武强县立诚仪器仪表厂</w:t>
            </w:r>
          </w:p>
        </w:tc>
        <w:tc>
          <w:tcPr>
            <w:tcW w:w="860" w:type="dxa"/>
            <w:tcBorders>
              <w:tl2br w:val="nil"/>
              <w:tr2bl w:val="nil"/>
            </w:tcBorders>
            <w:noWrap w:val="0"/>
            <w:vAlign w:val="center"/>
          </w:tcPr>
          <w:p w14:paraId="64D31D58">
            <w:pPr>
              <w:spacing w:line="0" w:lineRule="atLeast"/>
              <w:jc w:val="center"/>
              <w:rPr>
                <w:rFonts w:hint="eastAsia" w:ascii="宋体" w:hAnsi="宋体" w:eastAsia="宋体" w:cs="宋体"/>
                <w:color w:val="auto"/>
                <w:spacing w:val="-6"/>
                <w:sz w:val="21"/>
                <w:szCs w:val="21"/>
                <w:lang w:val="en-US" w:eastAsia="zh-CN"/>
              </w:rPr>
            </w:pPr>
            <w:r>
              <w:rPr>
                <w:rFonts w:hint="eastAsia" w:ascii="宋体" w:hAnsi="宋体" w:eastAsia="宋体" w:cs="宋体"/>
                <w:color w:val="auto"/>
                <w:spacing w:val="-6"/>
                <w:sz w:val="21"/>
                <w:szCs w:val="21"/>
                <w:lang w:val="en-US" w:eastAsia="zh-CN"/>
              </w:rPr>
              <w:t>1</w:t>
            </w:r>
          </w:p>
        </w:tc>
      </w:tr>
      <w:tr w14:paraId="1811D32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942" w:type="dxa"/>
            <w:tcBorders>
              <w:tl2br w:val="nil"/>
              <w:tr2bl w:val="nil"/>
            </w:tcBorders>
            <w:noWrap w:val="0"/>
            <w:vAlign w:val="center"/>
          </w:tcPr>
          <w:p w14:paraId="187C01E8">
            <w:pPr>
              <w:numPr>
                <w:ilvl w:val="0"/>
                <w:numId w:val="3"/>
              </w:numPr>
              <w:ind w:left="425" w:leftChars="0" w:hanging="425" w:firstLineChars="0"/>
              <w:jc w:val="center"/>
              <w:rPr>
                <w:rFonts w:hint="eastAsia" w:ascii="宋体" w:hAnsi="宋体" w:eastAsia="宋体" w:cs="宋体"/>
                <w:color w:val="auto"/>
                <w:kern w:val="2"/>
                <w:sz w:val="21"/>
                <w:szCs w:val="21"/>
                <w:lang w:val="en-US" w:eastAsia="zh-CN" w:bidi="ar-SA"/>
              </w:rPr>
            </w:pPr>
          </w:p>
        </w:tc>
        <w:tc>
          <w:tcPr>
            <w:tcW w:w="2690" w:type="dxa"/>
            <w:tcBorders>
              <w:tl2br w:val="nil"/>
              <w:tr2bl w:val="nil"/>
            </w:tcBorders>
            <w:noWrap w:val="0"/>
            <w:vAlign w:val="center"/>
          </w:tcPr>
          <w:p w14:paraId="371AF183">
            <w:pPr>
              <w:spacing w:line="0" w:lineRule="atLeast"/>
              <w:jc w:val="center"/>
              <w:rPr>
                <w:rFonts w:hint="eastAsia" w:ascii="宋体" w:hAnsi="宋体" w:eastAsia="宋体" w:cs="宋体"/>
                <w:color w:val="auto"/>
                <w:spacing w:val="-6"/>
                <w:sz w:val="21"/>
                <w:szCs w:val="21"/>
                <w:lang w:val="en-US" w:eastAsia="zh-CN"/>
              </w:rPr>
            </w:pPr>
            <w:r>
              <w:rPr>
                <w:rFonts w:hint="eastAsia" w:ascii="宋体" w:hAnsi="宋体" w:eastAsia="宋体" w:cs="宋体"/>
                <w:color w:val="auto"/>
                <w:spacing w:val="-6"/>
                <w:sz w:val="21"/>
                <w:szCs w:val="21"/>
                <w:lang w:val="en-US" w:eastAsia="zh-CN"/>
              </w:rPr>
              <w:t>盐雾试验机</w:t>
            </w:r>
          </w:p>
        </w:tc>
        <w:tc>
          <w:tcPr>
            <w:tcW w:w="1701" w:type="dxa"/>
            <w:tcBorders>
              <w:tl2br w:val="nil"/>
              <w:tr2bl w:val="nil"/>
            </w:tcBorders>
            <w:noWrap w:val="0"/>
            <w:vAlign w:val="center"/>
          </w:tcPr>
          <w:p w14:paraId="2EF430D6">
            <w:pPr>
              <w:spacing w:line="0" w:lineRule="atLeast"/>
              <w:jc w:val="center"/>
              <w:rPr>
                <w:rFonts w:hint="eastAsia" w:ascii="宋体" w:hAnsi="宋体" w:eastAsia="宋体" w:cs="宋体"/>
                <w:color w:val="auto"/>
                <w:spacing w:val="-6"/>
                <w:sz w:val="21"/>
                <w:szCs w:val="21"/>
                <w:lang w:val="en-US" w:eastAsia="zh-CN"/>
              </w:rPr>
            </w:pPr>
            <w:r>
              <w:rPr>
                <w:rFonts w:hint="eastAsia" w:ascii="宋体" w:hAnsi="宋体" w:eastAsia="宋体" w:cs="宋体"/>
                <w:color w:val="auto"/>
                <w:spacing w:val="-6"/>
                <w:sz w:val="21"/>
                <w:szCs w:val="21"/>
                <w:lang w:val="en-US" w:eastAsia="zh-CN"/>
              </w:rPr>
              <w:t>/</w:t>
            </w:r>
          </w:p>
        </w:tc>
        <w:tc>
          <w:tcPr>
            <w:tcW w:w="2964" w:type="dxa"/>
            <w:tcBorders>
              <w:tl2br w:val="nil"/>
              <w:tr2bl w:val="nil"/>
            </w:tcBorders>
            <w:noWrap w:val="0"/>
            <w:vAlign w:val="center"/>
          </w:tcPr>
          <w:p w14:paraId="3BB868E8">
            <w:pPr>
              <w:spacing w:line="0" w:lineRule="atLeast"/>
              <w:jc w:val="center"/>
              <w:rPr>
                <w:rFonts w:hint="eastAsia" w:ascii="宋体" w:hAnsi="宋体" w:eastAsia="宋体" w:cs="宋体"/>
                <w:color w:val="auto"/>
                <w:spacing w:val="-6"/>
                <w:sz w:val="21"/>
                <w:szCs w:val="21"/>
                <w:lang w:val="en-US" w:eastAsia="zh-CN"/>
              </w:rPr>
            </w:pPr>
            <w:r>
              <w:rPr>
                <w:rFonts w:hint="eastAsia" w:ascii="宋体" w:hAnsi="宋体" w:eastAsia="宋体" w:cs="宋体"/>
                <w:color w:val="auto"/>
                <w:spacing w:val="-6"/>
                <w:sz w:val="21"/>
                <w:szCs w:val="21"/>
                <w:lang w:val="en-US" w:eastAsia="zh-CN"/>
              </w:rPr>
              <w:t>深圳市聚茂源科技有限公司</w:t>
            </w:r>
          </w:p>
        </w:tc>
        <w:tc>
          <w:tcPr>
            <w:tcW w:w="860" w:type="dxa"/>
            <w:tcBorders>
              <w:tl2br w:val="nil"/>
              <w:tr2bl w:val="nil"/>
            </w:tcBorders>
            <w:noWrap w:val="0"/>
            <w:vAlign w:val="center"/>
          </w:tcPr>
          <w:p w14:paraId="5CB0F2A2">
            <w:pPr>
              <w:spacing w:line="0" w:lineRule="atLeast"/>
              <w:jc w:val="center"/>
              <w:rPr>
                <w:rFonts w:hint="eastAsia" w:ascii="宋体" w:hAnsi="宋体" w:eastAsia="宋体" w:cs="宋体"/>
                <w:color w:val="auto"/>
                <w:spacing w:val="-6"/>
                <w:sz w:val="21"/>
                <w:szCs w:val="21"/>
                <w:lang w:val="en-US" w:eastAsia="zh-CN"/>
              </w:rPr>
            </w:pPr>
            <w:r>
              <w:rPr>
                <w:rFonts w:hint="eastAsia" w:ascii="宋体" w:hAnsi="宋体" w:eastAsia="宋体" w:cs="宋体"/>
                <w:color w:val="auto"/>
                <w:spacing w:val="-6"/>
                <w:sz w:val="21"/>
                <w:szCs w:val="21"/>
                <w:lang w:val="en-US" w:eastAsia="zh-CN"/>
              </w:rPr>
              <w:t>1</w:t>
            </w:r>
          </w:p>
        </w:tc>
      </w:tr>
    </w:tbl>
    <w:p w14:paraId="4A18B52D">
      <w:pPr>
        <w:pStyle w:val="3"/>
        <w:tabs>
          <w:tab w:val="left" w:pos="6300"/>
        </w:tabs>
        <w:rPr>
          <w:rFonts w:hint="eastAsia" w:ascii="Calibri Light" w:hAnsi="Calibri Light" w:eastAsia="宋体" w:cs="Times New Roman"/>
          <w:b/>
          <w:bCs/>
          <w:color w:val="auto"/>
          <w:sz w:val="32"/>
          <w:szCs w:val="32"/>
        </w:rPr>
      </w:pPr>
      <w:r>
        <w:rPr>
          <w:rFonts w:hint="eastAsia" w:ascii="Calibri Light" w:hAnsi="Calibri Light" w:eastAsia="宋体" w:cs="Times New Roman"/>
          <w:b/>
          <w:bCs/>
          <w:color w:val="auto"/>
          <w:sz w:val="32"/>
          <w:szCs w:val="32"/>
        </w:rPr>
        <w:t>九、市场分析</w:t>
      </w:r>
    </w:p>
    <w:p w14:paraId="09D2E8E6">
      <w:pPr>
        <w:keepNext w:val="0"/>
        <w:keepLines w:val="0"/>
        <w:pageBreakBefore w:val="0"/>
        <w:widowControl/>
        <w:kinsoku/>
        <w:wordWrap/>
        <w:overflowPunct/>
        <w:topLinePunct w:val="0"/>
        <w:autoSpaceDE/>
        <w:autoSpaceDN/>
        <w:bidi w:val="0"/>
        <w:adjustRightInd/>
        <w:snapToGrid/>
        <w:spacing w:before="100" w:beforeAutospacing="1" w:after="100" w:afterAutospacing="1" w:line="360" w:lineRule="auto"/>
        <w:ind w:firstLine="561"/>
        <w:jc w:val="left"/>
        <w:textAlignment w:val="auto"/>
        <w:rPr>
          <w:rFonts w:hint="eastAsia" w:ascii="宋体" w:hAnsi="宋体" w:eastAsia="宋体" w:cs="Times New Roman"/>
          <w:color w:val="000000"/>
          <w:kern w:val="0"/>
          <w:sz w:val="24"/>
          <w:szCs w:val="24"/>
          <w:highlight w:val="none"/>
          <w:lang w:eastAsia="zh-CN"/>
        </w:rPr>
      </w:pPr>
      <w:r>
        <w:rPr>
          <w:rFonts w:hint="eastAsia" w:ascii="宋体" w:hAnsi="宋体" w:eastAsia="宋体" w:cs="Times New Roman"/>
          <w:color w:val="auto"/>
          <w:kern w:val="0"/>
          <w:sz w:val="24"/>
          <w:szCs w:val="24"/>
          <w:highlight w:val="none"/>
        </w:rPr>
        <w:t>阀门作为流体控制系统的关键设备，广泛应用于石油天然气、电力、化工、自</w:t>
      </w:r>
      <w:r>
        <w:rPr>
          <w:rFonts w:hint="eastAsia" w:ascii="宋体" w:hAnsi="宋体" w:eastAsia="宋体" w:cs="Times New Roman"/>
          <w:color w:val="000000"/>
          <w:kern w:val="0"/>
          <w:sz w:val="24"/>
          <w:szCs w:val="24"/>
          <w:highlight w:val="none"/>
        </w:rPr>
        <w:t>来水和污水处理、造纸、冶金、制药、食品、采掘、有色金属、电子等诸多行业。其质量与性能直接影响着各工业领域的生产效率、安全运营及环保水平。随着全球工业化进程的持续推进、基础设施建设的不断开展以及新兴市场的崛起，阀门市场呈现出复杂且充满机遇的发展态势。本报告旨在深入剖析阀门生产企业所处的市场环境，为相关企业制定战略决策提供有力依据</w:t>
      </w:r>
      <w:r>
        <w:rPr>
          <w:rFonts w:hint="eastAsia" w:ascii="宋体" w:hAnsi="宋体" w:eastAsia="宋体" w:cs="Times New Roman"/>
          <w:color w:val="000000"/>
          <w:kern w:val="0"/>
          <w:sz w:val="24"/>
          <w:szCs w:val="24"/>
          <w:highlight w:val="none"/>
          <w:lang w:eastAsia="zh-CN"/>
        </w:rPr>
        <w:t>。</w:t>
      </w:r>
    </w:p>
    <w:p w14:paraId="23EA5247">
      <w:pPr>
        <w:keepNext w:val="0"/>
        <w:keepLines w:val="0"/>
        <w:pageBreakBefore w:val="0"/>
        <w:widowControl/>
        <w:kinsoku/>
        <w:wordWrap/>
        <w:overflowPunct/>
        <w:topLinePunct w:val="0"/>
        <w:autoSpaceDE/>
        <w:autoSpaceDN/>
        <w:bidi w:val="0"/>
        <w:adjustRightInd/>
        <w:snapToGrid/>
        <w:spacing w:before="100" w:beforeAutospacing="1" w:after="100" w:afterAutospacing="1" w:line="360" w:lineRule="auto"/>
        <w:ind w:firstLine="561"/>
        <w:jc w:val="left"/>
        <w:textAlignment w:val="auto"/>
        <w:rPr>
          <w:rFonts w:hint="eastAsia" w:ascii="宋体" w:hAnsi="宋体"/>
          <w:color w:val="000000"/>
          <w:kern w:val="0"/>
          <w:sz w:val="24"/>
          <w:szCs w:val="24"/>
          <w:highlight w:val="none"/>
          <w:lang w:eastAsia="zh-CN"/>
        </w:rPr>
      </w:pPr>
      <w:r>
        <w:rPr>
          <w:rFonts w:hint="eastAsia" w:ascii="宋体" w:hAnsi="宋体"/>
          <w:color w:val="000000"/>
          <w:kern w:val="0"/>
          <w:sz w:val="24"/>
          <w:szCs w:val="24"/>
          <w:highlight w:val="none"/>
          <w:lang w:eastAsia="zh-CN"/>
        </w:rPr>
        <w:t>中国作为全球制造业大国和能源消费大国，阀门市场规模庞大且增长迅速。2024 年，中国阀门行业市场规模约达 2500 亿元，近五年行业复合增速为 4.16%。随着国内城市化和工业化进程的加快，以及基础设施建设的不断推进，如 “西气东输” 四线、五线等国家重大工程项目的陆续开工建设，对阀门产品的需求持续增加。特别是在工业应用领域，阀门作为关键的流体控制设备，2024 年工业应用市场占中国阀门行业细分应用市场的约 69%，成为推动市场增长的主要动力。</w:t>
      </w:r>
    </w:p>
    <w:p w14:paraId="5191D84E">
      <w:pPr>
        <w:keepNext w:val="0"/>
        <w:keepLines w:val="0"/>
        <w:pageBreakBefore w:val="0"/>
        <w:widowControl/>
        <w:kinsoku/>
        <w:wordWrap/>
        <w:overflowPunct/>
        <w:topLinePunct w:val="0"/>
        <w:autoSpaceDE/>
        <w:autoSpaceDN/>
        <w:bidi w:val="0"/>
        <w:adjustRightInd/>
        <w:snapToGrid/>
        <w:spacing w:before="100" w:beforeAutospacing="1" w:after="100" w:afterAutospacing="1" w:line="360" w:lineRule="auto"/>
        <w:ind w:firstLine="561"/>
        <w:jc w:val="left"/>
        <w:textAlignment w:val="auto"/>
        <w:rPr>
          <w:rFonts w:hint="eastAsia" w:ascii="宋体" w:hAnsi="宋体"/>
          <w:color w:val="000000"/>
          <w:kern w:val="0"/>
          <w:sz w:val="24"/>
          <w:szCs w:val="24"/>
          <w:highlight w:val="none"/>
          <w:lang w:eastAsia="zh-CN"/>
        </w:rPr>
      </w:pPr>
      <w:r>
        <w:rPr>
          <w:rFonts w:hint="eastAsia" w:ascii="宋体" w:hAnsi="宋体"/>
          <w:color w:val="000000"/>
          <w:kern w:val="0"/>
          <w:sz w:val="24"/>
          <w:szCs w:val="24"/>
          <w:highlight w:val="none"/>
          <w:lang w:eastAsia="zh-CN"/>
        </w:rPr>
        <w:t>中国阀门市场呈现多层次分化趋势，可分为三个竞争梯队。第一梯队为高端阀门市场，技术要求高，应用于炼油、化工、核电等领域，代表企业有纽威股份、中核科技和江苏神通等。这些企业通过自主研发和技术引进，逐步提升产品技术水平，打破国外企业在高端市场的垄断。第二梯队为中端阀门市场，技术含量较高，广泛应用于市政、水利、电力等行业，代表企业包括冠龙节能、三花智控和远大阀门等。第三梯队为低端阀门市场，技术要求较低，企业数量众多，竞争激烈，代表企业有伟隆股份、南方阀门和呼阀控股等。</w:t>
      </w:r>
    </w:p>
    <w:p w14:paraId="598E1671">
      <w:pPr>
        <w:keepNext w:val="0"/>
        <w:keepLines w:val="0"/>
        <w:pageBreakBefore w:val="0"/>
        <w:widowControl/>
        <w:kinsoku/>
        <w:wordWrap/>
        <w:overflowPunct/>
        <w:topLinePunct w:val="0"/>
        <w:autoSpaceDE/>
        <w:autoSpaceDN/>
        <w:bidi w:val="0"/>
        <w:adjustRightInd/>
        <w:snapToGrid/>
        <w:spacing w:before="100" w:beforeAutospacing="1" w:after="100" w:afterAutospacing="1" w:line="360" w:lineRule="auto"/>
        <w:ind w:firstLine="561"/>
        <w:jc w:val="left"/>
        <w:textAlignment w:val="auto"/>
        <w:rPr>
          <w:rFonts w:hint="eastAsia" w:ascii="宋体" w:hAnsi="宋体" w:eastAsia="宋体" w:cs="Times New Roman"/>
          <w:color w:val="000000"/>
          <w:kern w:val="0"/>
          <w:sz w:val="24"/>
          <w:szCs w:val="24"/>
          <w:highlight w:val="none"/>
          <w:lang w:eastAsia="zh-CN"/>
        </w:rPr>
      </w:pPr>
      <w:r>
        <w:rPr>
          <w:rFonts w:hint="eastAsia" w:ascii="宋体" w:hAnsi="宋体" w:eastAsia="宋体" w:cs="Times New Roman"/>
          <w:color w:val="000000"/>
          <w:kern w:val="0"/>
          <w:sz w:val="24"/>
          <w:szCs w:val="24"/>
          <w:highlight w:val="none"/>
          <w:lang w:eastAsia="zh-CN"/>
        </w:rPr>
        <w:t>随着物联网、大数据、人工智能等技术的快速发展，阀门智能化、自动化成为重要发展趋势。智能阀门能够实现远程监控、自动调节流量、压力等参数，提高生产过程的自动化水平和控制精度，降低人工成本和维护难度。例如，在智能工厂中，通过与控制系统集成，智能阀门可根据生产流程的实时需求，自动调整阀门开度，实现精准的流体控制。</w:t>
      </w:r>
    </w:p>
    <w:p w14:paraId="2663B5F5">
      <w:pPr>
        <w:keepNext w:val="0"/>
        <w:keepLines w:val="0"/>
        <w:pageBreakBefore w:val="0"/>
        <w:widowControl/>
        <w:kinsoku/>
        <w:wordWrap/>
        <w:overflowPunct/>
        <w:topLinePunct w:val="0"/>
        <w:autoSpaceDE/>
        <w:autoSpaceDN/>
        <w:bidi w:val="0"/>
        <w:adjustRightInd/>
        <w:snapToGrid/>
        <w:spacing w:before="100" w:beforeAutospacing="1" w:after="100" w:afterAutospacing="1" w:line="360" w:lineRule="auto"/>
        <w:ind w:firstLine="561"/>
        <w:jc w:val="left"/>
        <w:textAlignment w:val="auto"/>
        <w:rPr>
          <w:rFonts w:hint="eastAsia" w:ascii="宋体" w:hAnsi="宋体" w:eastAsia="宋体" w:cs="Times New Roman"/>
          <w:color w:val="000000"/>
          <w:kern w:val="0"/>
          <w:sz w:val="24"/>
          <w:szCs w:val="24"/>
          <w:highlight w:val="none"/>
          <w:lang w:eastAsia="zh-CN"/>
        </w:rPr>
      </w:pPr>
      <w:r>
        <w:rPr>
          <w:rFonts w:hint="eastAsia" w:ascii="宋体" w:hAnsi="宋体" w:eastAsia="宋体" w:cs="Times New Roman"/>
          <w:color w:val="000000"/>
          <w:kern w:val="0"/>
          <w:sz w:val="24"/>
          <w:szCs w:val="24"/>
          <w:highlight w:val="none"/>
          <w:lang w:eastAsia="zh-CN"/>
        </w:rPr>
        <w:t>为满足石油、化工、核电等行业对阀门在高温、高压、强腐蚀等恶劣工况下的使用要求，高性能材料在阀门生产中的应用越来越广泛。如新型合金材料、陶瓷材料、复合材料等，这些材料具有更好的耐高温、耐磨损、耐腐蚀性能，能够显著提高阀门的使用寿命和可靠性。</w:t>
      </w:r>
    </w:p>
    <w:p w14:paraId="4D555288">
      <w:pPr>
        <w:keepNext w:val="0"/>
        <w:keepLines w:val="0"/>
        <w:pageBreakBefore w:val="0"/>
        <w:widowControl/>
        <w:kinsoku/>
        <w:wordWrap/>
        <w:overflowPunct/>
        <w:topLinePunct w:val="0"/>
        <w:autoSpaceDE/>
        <w:autoSpaceDN/>
        <w:bidi w:val="0"/>
        <w:adjustRightInd/>
        <w:snapToGrid/>
        <w:spacing w:before="100" w:beforeAutospacing="1" w:after="100" w:afterAutospacing="1" w:line="360" w:lineRule="auto"/>
        <w:ind w:firstLine="561"/>
        <w:jc w:val="left"/>
        <w:textAlignment w:val="auto"/>
        <w:rPr>
          <w:rFonts w:hint="eastAsia" w:ascii="宋体" w:hAnsi="宋体" w:eastAsia="宋体" w:cs="Times New Roman"/>
          <w:color w:val="000000"/>
          <w:kern w:val="0"/>
          <w:sz w:val="24"/>
          <w:szCs w:val="24"/>
          <w:highlight w:val="none"/>
          <w:lang w:eastAsia="zh-CN"/>
        </w:rPr>
      </w:pPr>
      <w:r>
        <w:rPr>
          <w:rFonts w:hint="eastAsia" w:ascii="宋体" w:hAnsi="宋体" w:eastAsia="宋体" w:cs="Times New Roman"/>
          <w:color w:val="000000"/>
          <w:kern w:val="0"/>
          <w:sz w:val="24"/>
          <w:szCs w:val="24"/>
          <w:highlight w:val="none"/>
          <w:lang w:eastAsia="zh-CN"/>
        </w:rPr>
        <w:t>在全球倡导节能减排和环保的大背景下，阀门生产企业也在不断研发和应用相关技术。例如，开发低泄漏阀门，减少流体泄漏对环境的污染；优化阀门结构设计，降低阀门流阻，提高能源利用效率，以满足各行业对节能减排的要求。</w:t>
      </w:r>
    </w:p>
    <w:p w14:paraId="74271027">
      <w:pPr>
        <w:keepNext w:val="0"/>
        <w:keepLines w:val="0"/>
        <w:pageBreakBefore w:val="0"/>
        <w:widowControl/>
        <w:kinsoku/>
        <w:wordWrap/>
        <w:overflowPunct/>
        <w:topLinePunct w:val="0"/>
        <w:autoSpaceDE/>
        <w:autoSpaceDN/>
        <w:bidi w:val="0"/>
        <w:adjustRightInd/>
        <w:snapToGrid/>
        <w:spacing w:before="100" w:beforeAutospacing="1" w:after="100" w:afterAutospacing="1" w:line="360" w:lineRule="auto"/>
        <w:ind w:firstLine="561"/>
        <w:jc w:val="left"/>
        <w:textAlignment w:val="auto"/>
        <w:rPr>
          <w:rFonts w:hint="eastAsia" w:ascii="宋体" w:hAnsi="宋体" w:eastAsia="宋体" w:cs="Times New Roman"/>
          <w:color w:val="000000"/>
          <w:kern w:val="0"/>
          <w:sz w:val="24"/>
          <w:szCs w:val="24"/>
          <w:highlight w:val="none"/>
          <w:lang w:eastAsia="zh-CN"/>
        </w:rPr>
      </w:pPr>
      <w:r>
        <w:rPr>
          <w:rFonts w:hint="eastAsia" w:ascii="宋体" w:hAnsi="宋体" w:eastAsia="宋体" w:cs="Times New Roman"/>
          <w:color w:val="000000"/>
          <w:kern w:val="0"/>
          <w:sz w:val="24"/>
          <w:szCs w:val="24"/>
          <w:highlight w:val="none"/>
          <w:lang w:eastAsia="zh-CN"/>
        </w:rPr>
        <w:t>全球阀门市场规模呈现增长态势，中国市场在全球占据重要地位且发展潜力巨大。市场竞争格局呈现多元化，高端市场由国际知名企业主导，国内企业在中低端市场竞争激烈，部分企业已逐步向高端市场渗透。驱动因素和限制因素并存，技术发展趋势为企业提供了新的发展方向和机遇。</w:t>
      </w:r>
    </w:p>
    <w:p w14:paraId="6E64B95F">
      <w:pPr>
        <w:pStyle w:val="3"/>
        <w:tabs>
          <w:tab w:val="left" w:pos="6300"/>
        </w:tabs>
        <w:rPr>
          <w:rFonts w:hint="eastAsia" w:ascii="Calibri Light" w:hAnsi="Calibri Light" w:eastAsia="宋体" w:cs="Times New Roman"/>
          <w:b/>
          <w:bCs/>
          <w:sz w:val="32"/>
          <w:szCs w:val="32"/>
        </w:rPr>
      </w:pPr>
      <w:r>
        <w:rPr>
          <w:rFonts w:hint="eastAsia" w:ascii="Calibri Light" w:hAnsi="Calibri Light" w:eastAsia="宋体" w:cs="Times New Roman"/>
          <w:b/>
          <w:bCs/>
          <w:sz w:val="32"/>
          <w:szCs w:val="32"/>
        </w:rPr>
        <w:t>十、利益相关方沟通</w:t>
      </w:r>
      <w:bookmarkEnd w:id="21"/>
      <w:r>
        <w:rPr>
          <w:rFonts w:hint="eastAsia" w:ascii="Calibri Light" w:hAnsi="Calibri Light" w:eastAsia="宋体" w:cs="Times New Roman"/>
          <w:b/>
          <w:bCs/>
          <w:sz w:val="32"/>
          <w:szCs w:val="32"/>
        </w:rPr>
        <w:t>与回应</w:t>
      </w:r>
      <w:bookmarkEnd w:id="22"/>
    </w:p>
    <w:p w14:paraId="09641A7B">
      <w:pPr>
        <w:keepNext w:val="0"/>
        <w:keepLines w:val="0"/>
        <w:pageBreakBefore w:val="0"/>
        <w:widowControl/>
        <w:kinsoku/>
        <w:wordWrap/>
        <w:overflowPunct/>
        <w:topLinePunct w:val="0"/>
        <w:autoSpaceDE/>
        <w:autoSpaceDN/>
        <w:bidi w:val="0"/>
        <w:adjustRightInd/>
        <w:snapToGrid/>
        <w:spacing w:before="100" w:beforeAutospacing="1" w:after="100" w:afterAutospacing="1" w:line="360" w:lineRule="auto"/>
        <w:ind w:firstLine="561"/>
        <w:jc w:val="left"/>
        <w:textAlignment w:val="auto"/>
        <w:rPr>
          <w:rFonts w:ascii="宋体"/>
          <w:color w:val="000000"/>
          <w:kern w:val="0"/>
          <w:sz w:val="24"/>
          <w:szCs w:val="24"/>
        </w:rPr>
      </w:pPr>
      <w:r>
        <w:rPr>
          <w:rFonts w:hint="eastAsia" w:ascii="宋体" w:hAnsi="宋体"/>
          <w:color w:val="000000"/>
          <w:kern w:val="0"/>
          <w:sz w:val="24"/>
          <w:szCs w:val="24"/>
        </w:rPr>
        <w:t>利益相关方的信任和支持是公司持续健康发展的基础。公司建立了多元化的利益相关方对话机制，主动与政府、员工、消费者、合作伙伴、环境、社会和公众等利益相关方群体开展多方沟通交流。</w:t>
      </w:r>
    </w:p>
    <w:p w14:paraId="14285F37">
      <w:pPr>
        <w:keepNext w:val="0"/>
        <w:keepLines w:val="0"/>
        <w:pageBreakBefore w:val="0"/>
        <w:widowControl/>
        <w:kinsoku/>
        <w:wordWrap/>
        <w:overflowPunct/>
        <w:topLinePunct w:val="0"/>
        <w:autoSpaceDE/>
        <w:autoSpaceDN/>
        <w:bidi w:val="0"/>
        <w:adjustRightInd/>
        <w:snapToGrid/>
        <w:spacing w:before="100" w:beforeAutospacing="1" w:after="100" w:afterAutospacing="1" w:line="360" w:lineRule="auto"/>
        <w:ind w:firstLine="561"/>
        <w:jc w:val="center"/>
        <w:textAlignment w:val="auto"/>
        <w:rPr>
          <w:rFonts w:ascii="宋体"/>
          <w:b/>
          <w:bCs/>
          <w:color w:val="000000"/>
          <w:kern w:val="0"/>
          <w:sz w:val="24"/>
          <w:szCs w:val="24"/>
        </w:rPr>
      </w:pPr>
      <w:r>
        <w:rPr>
          <w:rFonts w:hint="eastAsia" w:ascii="宋体" w:hAnsi="宋体"/>
          <w:b/>
          <w:bCs/>
          <w:color w:val="000000"/>
          <w:kern w:val="0"/>
          <w:sz w:val="24"/>
          <w:szCs w:val="24"/>
        </w:rPr>
        <w:t>利益相关方期望要求和沟通回应</w:t>
      </w:r>
    </w:p>
    <w:tbl>
      <w:tblPr>
        <w:tblStyle w:val="14"/>
        <w:tblW w:w="9399"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562"/>
        <w:gridCol w:w="3562"/>
        <w:gridCol w:w="4275"/>
      </w:tblGrid>
      <w:tr w14:paraId="63AC611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1562" w:type="dxa"/>
            <w:tcBorders>
              <w:tl2br w:val="nil"/>
              <w:tr2bl w:val="nil"/>
            </w:tcBorders>
            <w:noWrap w:val="0"/>
            <w:vAlign w:val="center"/>
          </w:tcPr>
          <w:p w14:paraId="6DADCF49">
            <w:pPr>
              <w:widowControl/>
              <w:spacing w:before="100" w:beforeAutospacing="1" w:after="100" w:afterAutospacing="1" w:line="240" w:lineRule="atLeast"/>
              <w:jc w:val="center"/>
              <w:rPr>
                <w:rFonts w:ascii="宋体" w:hAnsi="宋体"/>
                <w:b/>
                <w:bCs/>
                <w:color w:val="000000"/>
                <w:kern w:val="0"/>
                <w:sz w:val="21"/>
                <w:szCs w:val="21"/>
              </w:rPr>
            </w:pPr>
            <w:r>
              <w:rPr>
                <w:rFonts w:hint="eastAsia" w:ascii="宋体" w:hAnsi="宋体"/>
                <w:b/>
                <w:bCs/>
                <w:color w:val="000000"/>
                <w:kern w:val="0"/>
                <w:sz w:val="21"/>
                <w:szCs w:val="21"/>
              </w:rPr>
              <w:t>利益相关方</w:t>
            </w:r>
          </w:p>
        </w:tc>
        <w:tc>
          <w:tcPr>
            <w:tcW w:w="3562" w:type="dxa"/>
            <w:tcBorders>
              <w:tl2br w:val="nil"/>
              <w:tr2bl w:val="nil"/>
            </w:tcBorders>
            <w:noWrap w:val="0"/>
            <w:vAlign w:val="center"/>
          </w:tcPr>
          <w:p w14:paraId="6D976C85">
            <w:pPr>
              <w:widowControl/>
              <w:spacing w:before="100" w:beforeAutospacing="1" w:after="100" w:afterAutospacing="1"/>
              <w:jc w:val="center"/>
              <w:rPr>
                <w:rFonts w:ascii="宋体"/>
                <w:b/>
                <w:bCs/>
                <w:color w:val="000000"/>
                <w:kern w:val="0"/>
                <w:sz w:val="21"/>
                <w:szCs w:val="21"/>
              </w:rPr>
            </w:pPr>
            <w:r>
              <w:rPr>
                <w:rFonts w:hint="eastAsia" w:ascii="宋体" w:hAnsi="宋体"/>
                <w:b/>
                <w:bCs/>
                <w:color w:val="000000"/>
                <w:kern w:val="0"/>
                <w:sz w:val="21"/>
                <w:szCs w:val="21"/>
              </w:rPr>
              <w:t>期望与要求</w:t>
            </w:r>
          </w:p>
        </w:tc>
        <w:tc>
          <w:tcPr>
            <w:tcW w:w="4275" w:type="dxa"/>
            <w:tcBorders>
              <w:tl2br w:val="nil"/>
              <w:tr2bl w:val="nil"/>
            </w:tcBorders>
            <w:noWrap w:val="0"/>
            <w:vAlign w:val="center"/>
          </w:tcPr>
          <w:p w14:paraId="04BBBD57">
            <w:pPr>
              <w:widowControl/>
              <w:spacing w:before="100" w:beforeAutospacing="1" w:after="100" w:afterAutospacing="1"/>
              <w:jc w:val="center"/>
              <w:rPr>
                <w:rFonts w:ascii="宋体"/>
                <w:b/>
                <w:bCs/>
                <w:color w:val="000000"/>
                <w:kern w:val="0"/>
                <w:sz w:val="21"/>
                <w:szCs w:val="21"/>
              </w:rPr>
            </w:pPr>
            <w:r>
              <w:rPr>
                <w:rFonts w:hint="eastAsia" w:ascii="宋体" w:hAnsi="宋体"/>
                <w:b/>
                <w:bCs/>
                <w:color w:val="000000"/>
                <w:kern w:val="0"/>
                <w:sz w:val="21"/>
                <w:szCs w:val="21"/>
              </w:rPr>
              <w:t>沟通回应方式</w:t>
            </w:r>
          </w:p>
        </w:tc>
      </w:tr>
      <w:tr w14:paraId="71345B0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1562" w:type="dxa"/>
            <w:tcBorders>
              <w:tl2br w:val="nil"/>
              <w:tr2bl w:val="nil"/>
            </w:tcBorders>
            <w:noWrap w:val="0"/>
            <w:vAlign w:val="center"/>
          </w:tcPr>
          <w:p w14:paraId="6FAAE5B1">
            <w:pPr>
              <w:keepNext w:val="0"/>
              <w:keepLines w:val="0"/>
              <w:pageBreakBefore w:val="0"/>
              <w:widowControl/>
              <w:kinsoku/>
              <w:wordWrap/>
              <w:overflowPunct/>
              <w:topLinePunct w:val="0"/>
              <w:autoSpaceDE/>
              <w:autoSpaceDN/>
              <w:bidi w:val="0"/>
              <w:adjustRightInd/>
              <w:snapToGrid/>
              <w:spacing w:before="100" w:beforeAutospacing="1" w:after="100" w:afterAutospacing="1" w:line="360" w:lineRule="auto"/>
              <w:jc w:val="center"/>
              <w:textAlignment w:val="auto"/>
              <w:rPr>
                <w:rFonts w:ascii="宋体" w:hAnsi="宋体"/>
                <w:color w:val="000000"/>
                <w:kern w:val="0"/>
                <w:sz w:val="21"/>
                <w:szCs w:val="21"/>
              </w:rPr>
            </w:pPr>
            <w:r>
              <w:rPr>
                <w:rFonts w:hint="eastAsia" w:ascii="宋体" w:hAnsi="宋体"/>
                <w:color w:val="000000"/>
                <w:kern w:val="0"/>
                <w:sz w:val="21"/>
                <w:szCs w:val="21"/>
              </w:rPr>
              <w:t>政府</w:t>
            </w:r>
          </w:p>
        </w:tc>
        <w:tc>
          <w:tcPr>
            <w:tcW w:w="3562" w:type="dxa"/>
            <w:tcBorders>
              <w:tl2br w:val="nil"/>
              <w:tr2bl w:val="nil"/>
            </w:tcBorders>
            <w:noWrap w:val="0"/>
            <w:vAlign w:val="center"/>
          </w:tcPr>
          <w:p w14:paraId="30A99BFC">
            <w:pPr>
              <w:keepNext w:val="0"/>
              <w:keepLines w:val="0"/>
              <w:pageBreakBefore w:val="0"/>
              <w:widowControl/>
              <w:kinsoku/>
              <w:wordWrap/>
              <w:overflowPunct/>
              <w:topLinePunct w:val="0"/>
              <w:autoSpaceDE/>
              <w:autoSpaceDN/>
              <w:bidi w:val="0"/>
              <w:adjustRightInd/>
              <w:snapToGrid/>
              <w:spacing w:before="100" w:beforeAutospacing="1" w:after="100" w:afterAutospacing="1" w:line="360" w:lineRule="auto"/>
              <w:jc w:val="left"/>
              <w:textAlignment w:val="auto"/>
              <w:rPr>
                <w:rFonts w:ascii="宋体" w:hAnsi="宋体"/>
                <w:color w:val="000000"/>
                <w:kern w:val="0"/>
                <w:sz w:val="21"/>
                <w:szCs w:val="21"/>
              </w:rPr>
            </w:pPr>
            <w:r>
              <w:rPr>
                <w:rFonts w:hint="eastAsia" w:ascii="宋体" w:hAnsi="宋体"/>
                <w:color w:val="000000"/>
                <w:kern w:val="0"/>
                <w:sz w:val="21"/>
                <w:szCs w:val="21"/>
              </w:rPr>
              <w:t>遵纪守法、依法纳税、支持经济发展</w:t>
            </w:r>
          </w:p>
        </w:tc>
        <w:tc>
          <w:tcPr>
            <w:tcW w:w="4275" w:type="dxa"/>
            <w:tcBorders>
              <w:tl2br w:val="nil"/>
              <w:tr2bl w:val="nil"/>
            </w:tcBorders>
            <w:noWrap w:val="0"/>
            <w:vAlign w:val="center"/>
          </w:tcPr>
          <w:p w14:paraId="7A3D1D40">
            <w:pPr>
              <w:keepNext w:val="0"/>
              <w:keepLines w:val="0"/>
              <w:pageBreakBefore w:val="0"/>
              <w:widowControl/>
              <w:kinsoku/>
              <w:wordWrap/>
              <w:overflowPunct/>
              <w:topLinePunct w:val="0"/>
              <w:autoSpaceDE/>
              <w:autoSpaceDN/>
              <w:bidi w:val="0"/>
              <w:adjustRightInd/>
              <w:snapToGrid/>
              <w:spacing w:before="100" w:beforeAutospacing="1" w:after="100" w:afterAutospacing="1" w:line="360" w:lineRule="auto"/>
              <w:jc w:val="left"/>
              <w:textAlignment w:val="auto"/>
              <w:rPr>
                <w:rFonts w:ascii="宋体" w:hAnsi="宋体"/>
                <w:color w:val="000000"/>
                <w:kern w:val="0"/>
                <w:sz w:val="21"/>
                <w:szCs w:val="21"/>
              </w:rPr>
            </w:pPr>
            <w:r>
              <w:rPr>
                <w:rFonts w:hint="eastAsia" w:ascii="宋体" w:hAnsi="宋体"/>
                <w:color w:val="000000"/>
                <w:kern w:val="0"/>
                <w:sz w:val="21"/>
                <w:szCs w:val="21"/>
              </w:rPr>
              <w:t>合规管理、主动纳税、执行国家政策</w:t>
            </w:r>
          </w:p>
        </w:tc>
      </w:tr>
      <w:tr w14:paraId="53448DA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81" w:hRule="atLeast"/>
        </w:trPr>
        <w:tc>
          <w:tcPr>
            <w:tcW w:w="1562" w:type="dxa"/>
            <w:tcBorders>
              <w:tl2br w:val="nil"/>
              <w:tr2bl w:val="nil"/>
            </w:tcBorders>
            <w:noWrap w:val="0"/>
            <w:vAlign w:val="center"/>
          </w:tcPr>
          <w:p w14:paraId="58DE53B3">
            <w:pPr>
              <w:keepNext w:val="0"/>
              <w:keepLines w:val="0"/>
              <w:pageBreakBefore w:val="0"/>
              <w:widowControl/>
              <w:kinsoku/>
              <w:wordWrap/>
              <w:overflowPunct/>
              <w:topLinePunct w:val="0"/>
              <w:autoSpaceDE/>
              <w:autoSpaceDN/>
              <w:bidi w:val="0"/>
              <w:adjustRightInd/>
              <w:snapToGrid/>
              <w:spacing w:before="100" w:beforeAutospacing="1" w:after="100" w:afterAutospacing="1" w:line="360" w:lineRule="auto"/>
              <w:jc w:val="center"/>
              <w:textAlignment w:val="auto"/>
              <w:rPr>
                <w:rFonts w:ascii="宋体" w:hAnsi="宋体"/>
                <w:color w:val="000000"/>
                <w:kern w:val="0"/>
                <w:sz w:val="21"/>
                <w:szCs w:val="21"/>
              </w:rPr>
            </w:pPr>
            <w:r>
              <w:rPr>
                <w:rFonts w:hint="eastAsia" w:ascii="宋体" w:hAnsi="宋体"/>
                <w:color w:val="000000"/>
                <w:kern w:val="0"/>
                <w:sz w:val="21"/>
                <w:szCs w:val="21"/>
              </w:rPr>
              <w:t>员工</w:t>
            </w:r>
          </w:p>
        </w:tc>
        <w:tc>
          <w:tcPr>
            <w:tcW w:w="3562" w:type="dxa"/>
            <w:tcBorders>
              <w:tl2br w:val="nil"/>
              <w:tr2bl w:val="nil"/>
            </w:tcBorders>
            <w:noWrap w:val="0"/>
            <w:vAlign w:val="center"/>
          </w:tcPr>
          <w:p w14:paraId="0D4E5F9D">
            <w:pPr>
              <w:keepNext w:val="0"/>
              <w:keepLines w:val="0"/>
              <w:pageBreakBefore w:val="0"/>
              <w:widowControl/>
              <w:kinsoku/>
              <w:wordWrap/>
              <w:overflowPunct/>
              <w:topLinePunct w:val="0"/>
              <w:autoSpaceDE/>
              <w:autoSpaceDN/>
              <w:bidi w:val="0"/>
              <w:adjustRightInd/>
              <w:snapToGrid/>
              <w:spacing w:before="100" w:beforeAutospacing="1" w:after="100" w:afterAutospacing="1" w:line="360" w:lineRule="auto"/>
              <w:jc w:val="left"/>
              <w:textAlignment w:val="auto"/>
              <w:rPr>
                <w:rFonts w:ascii="宋体" w:hAnsi="宋体"/>
                <w:color w:val="000000"/>
                <w:kern w:val="0"/>
                <w:sz w:val="21"/>
                <w:szCs w:val="21"/>
              </w:rPr>
            </w:pPr>
            <w:r>
              <w:rPr>
                <w:rFonts w:hint="eastAsia" w:ascii="宋体" w:hAnsi="宋体"/>
                <w:color w:val="000000"/>
                <w:kern w:val="0"/>
                <w:sz w:val="21"/>
                <w:szCs w:val="21"/>
              </w:rPr>
              <w:t>工资及福利保障、健康和安全、畅顺沟通、公平晋升和发展机会</w:t>
            </w:r>
          </w:p>
        </w:tc>
        <w:tc>
          <w:tcPr>
            <w:tcW w:w="4275" w:type="dxa"/>
            <w:tcBorders>
              <w:tl2br w:val="nil"/>
              <w:tr2bl w:val="nil"/>
            </w:tcBorders>
            <w:noWrap w:val="0"/>
            <w:vAlign w:val="center"/>
          </w:tcPr>
          <w:p w14:paraId="0A90B4C0">
            <w:pPr>
              <w:keepNext w:val="0"/>
              <w:keepLines w:val="0"/>
              <w:pageBreakBefore w:val="0"/>
              <w:widowControl/>
              <w:kinsoku/>
              <w:wordWrap/>
              <w:overflowPunct/>
              <w:topLinePunct w:val="0"/>
              <w:autoSpaceDE/>
              <w:autoSpaceDN/>
              <w:bidi w:val="0"/>
              <w:adjustRightInd/>
              <w:snapToGrid/>
              <w:spacing w:before="100" w:beforeAutospacing="1" w:after="100" w:afterAutospacing="1" w:line="360" w:lineRule="auto"/>
              <w:jc w:val="left"/>
              <w:textAlignment w:val="auto"/>
              <w:rPr>
                <w:rFonts w:ascii="宋体" w:hAnsi="宋体"/>
                <w:color w:val="000000"/>
                <w:kern w:val="0"/>
                <w:sz w:val="21"/>
                <w:szCs w:val="21"/>
              </w:rPr>
            </w:pPr>
            <w:r>
              <w:rPr>
                <w:rFonts w:hint="eastAsia" w:ascii="宋体" w:hAnsi="宋体"/>
                <w:color w:val="000000"/>
                <w:kern w:val="0"/>
                <w:sz w:val="21"/>
                <w:szCs w:val="21"/>
              </w:rPr>
              <w:t>及时足额发放工资、缴纳社保、建立职业健康安全管理体系、畅通沟通渠道、职业发展通道、员工培训</w:t>
            </w:r>
          </w:p>
        </w:tc>
      </w:tr>
      <w:tr w14:paraId="75412B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28" w:hRule="atLeast"/>
        </w:trPr>
        <w:tc>
          <w:tcPr>
            <w:tcW w:w="1562" w:type="dxa"/>
            <w:tcBorders>
              <w:tl2br w:val="nil"/>
              <w:tr2bl w:val="nil"/>
            </w:tcBorders>
            <w:noWrap w:val="0"/>
            <w:vAlign w:val="center"/>
          </w:tcPr>
          <w:p w14:paraId="674EC3BA">
            <w:pPr>
              <w:keepNext w:val="0"/>
              <w:keepLines w:val="0"/>
              <w:pageBreakBefore w:val="0"/>
              <w:widowControl/>
              <w:kinsoku/>
              <w:wordWrap/>
              <w:overflowPunct/>
              <w:topLinePunct w:val="0"/>
              <w:autoSpaceDE/>
              <w:autoSpaceDN/>
              <w:bidi w:val="0"/>
              <w:adjustRightInd/>
              <w:snapToGrid/>
              <w:spacing w:before="100" w:beforeAutospacing="1" w:after="100" w:afterAutospacing="1" w:line="360" w:lineRule="auto"/>
              <w:jc w:val="center"/>
              <w:textAlignment w:val="auto"/>
              <w:rPr>
                <w:rFonts w:ascii="宋体" w:hAnsi="宋体"/>
                <w:color w:val="000000"/>
                <w:kern w:val="0"/>
                <w:sz w:val="21"/>
                <w:szCs w:val="21"/>
              </w:rPr>
            </w:pPr>
            <w:r>
              <w:rPr>
                <w:rFonts w:hint="eastAsia" w:ascii="宋体" w:hAnsi="宋体"/>
                <w:color w:val="000000"/>
                <w:kern w:val="0"/>
                <w:sz w:val="21"/>
                <w:szCs w:val="21"/>
              </w:rPr>
              <w:t>顾客</w:t>
            </w:r>
          </w:p>
        </w:tc>
        <w:tc>
          <w:tcPr>
            <w:tcW w:w="3562" w:type="dxa"/>
            <w:tcBorders>
              <w:tl2br w:val="nil"/>
              <w:tr2bl w:val="nil"/>
            </w:tcBorders>
            <w:noWrap w:val="0"/>
            <w:vAlign w:val="center"/>
          </w:tcPr>
          <w:p w14:paraId="279F7C3A">
            <w:pPr>
              <w:keepNext w:val="0"/>
              <w:keepLines w:val="0"/>
              <w:pageBreakBefore w:val="0"/>
              <w:widowControl/>
              <w:kinsoku/>
              <w:wordWrap/>
              <w:overflowPunct/>
              <w:topLinePunct w:val="0"/>
              <w:autoSpaceDE/>
              <w:autoSpaceDN/>
              <w:bidi w:val="0"/>
              <w:adjustRightInd/>
              <w:snapToGrid/>
              <w:spacing w:before="100" w:beforeAutospacing="1" w:after="100" w:afterAutospacing="1" w:line="360" w:lineRule="auto"/>
              <w:jc w:val="left"/>
              <w:textAlignment w:val="auto"/>
              <w:rPr>
                <w:rFonts w:ascii="宋体" w:hAnsi="宋体"/>
                <w:color w:val="000000"/>
                <w:kern w:val="0"/>
                <w:sz w:val="21"/>
                <w:szCs w:val="21"/>
              </w:rPr>
            </w:pPr>
            <w:r>
              <w:rPr>
                <w:rFonts w:hint="eastAsia" w:ascii="宋体" w:hAnsi="宋体"/>
                <w:color w:val="000000"/>
                <w:kern w:val="0"/>
                <w:sz w:val="21"/>
                <w:szCs w:val="21"/>
              </w:rPr>
              <w:t>提供满意服务、保证产品质量</w:t>
            </w:r>
          </w:p>
        </w:tc>
        <w:tc>
          <w:tcPr>
            <w:tcW w:w="4275" w:type="dxa"/>
            <w:tcBorders>
              <w:tl2br w:val="nil"/>
              <w:tr2bl w:val="nil"/>
            </w:tcBorders>
            <w:noWrap w:val="0"/>
            <w:vAlign w:val="center"/>
          </w:tcPr>
          <w:p w14:paraId="32C27385">
            <w:pPr>
              <w:keepNext w:val="0"/>
              <w:keepLines w:val="0"/>
              <w:pageBreakBefore w:val="0"/>
              <w:widowControl/>
              <w:kinsoku/>
              <w:wordWrap/>
              <w:overflowPunct/>
              <w:topLinePunct w:val="0"/>
              <w:autoSpaceDE/>
              <w:autoSpaceDN/>
              <w:bidi w:val="0"/>
              <w:adjustRightInd/>
              <w:snapToGrid/>
              <w:spacing w:before="100" w:beforeAutospacing="1" w:after="100" w:afterAutospacing="1" w:line="360" w:lineRule="auto"/>
              <w:jc w:val="left"/>
              <w:textAlignment w:val="auto"/>
              <w:rPr>
                <w:rFonts w:ascii="宋体" w:hAnsi="宋体"/>
                <w:color w:val="000000"/>
                <w:kern w:val="0"/>
                <w:sz w:val="21"/>
                <w:szCs w:val="21"/>
              </w:rPr>
            </w:pPr>
            <w:r>
              <w:rPr>
                <w:rFonts w:hint="eastAsia" w:ascii="宋体" w:hAnsi="宋体"/>
                <w:color w:val="000000"/>
                <w:kern w:val="0"/>
                <w:sz w:val="21"/>
                <w:szCs w:val="21"/>
              </w:rPr>
              <w:t>消费者可通过客户服务热线、“客户留言”向公司咨询、建议或投诉</w:t>
            </w:r>
          </w:p>
        </w:tc>
      </w:tr>
      <w:tr w14:paraId="2CDC06E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435" w:hRule="atLeast"/>
        </w:trPr>
        <w:tc>
          <w:tcPr>
            <w:tcW w:w="1562" w:type="dxa"/>
            <w:tcBorders>
              <w:tl2br w:val="nil"/>
              <w:tr2bl w:val="nil"/>
            </w:tcBorders>
            <w:noWrap w:val="0"/>
            <w:vAlign w:val="center"/>
          </w:tcPr>
          <w:p w14:paraId="3B357FC6">
            <w:pPr>
              <w:keepNext w:val="0"/>
              <w:keepLines w:val="0"/>
              <w:pageBreakBefore w:val="0"/>
              <w:widowControl/>
              <w:kinsoku/>
              <w:wordWrap/>
              <w:overflowPunct/>
              <w:topLinePunct w:val="0"/>
              <w:autoSpaceDE/>
              <w:autoSpaceDN/>
              <w:bidi w:val="0"/>
              <w:adjustRightInd/>
              <w:snapToGrid/>
              <w:spacing w:before="100" w:beforeAutospacing="1" w:after="100" w:afterAutospacing="1" w:line="360" w:lineRule="auto"/>
              <w:jc w:val="center"/>
              <w:textAlignment w:val="auto"/>
              <w:rPr>
                <w:rFonts w:ascii="宋体" w:hAnsi="宋体"/>
                <w:color w:val="000000"/>
                <w:kern w:val="0"/>
                <w:sz w:val="21"/>
                <w:szCs w:val="21"/>
              </w:rPr>
            </w:pPr>
            <w:r>
              <w:rPr>
                <w:rFonts w:hint="eastAsia" w:ascii="宋体" w:hAnsi="宋体"/>
                <w:color w:val="000000"/>
                <w:kern w:val="0"/>
                <w:sz w:val="21"/>
                <w:szCs w:val="21"/>
              </w:rPr>
              <w:t>客户</w:t>
            </w:r>
          </w:p>
        </w:tc>
        <w:tc>
          <w:tcPr>
            <w:tcW w:w="3562" w:type="dxa"/>
            <w:tcBorders>
              <w:tl2br w:val="nil"/>
              <w:tr2bl w:val="nil"/>
            </w:tcBorders>
            <w:noWrap w:val="0"/>
            <w:vAlign w:val="center"/>
          </w:tcPr>
          <w:p w14:paraId="4580C3D1">
            <w:pPr>
              <w:keepNext w:val="0"/>
              <w:keepLines w:val="0"/>
              <w:pageBreakBefore w:val="0"/>
              <w:widowControl/>
              <w:kinsoku/>
              <w:wordWrap/>
              <w:overflowPunct/>
              <w:topLinePunct w:val="0"/>
              <w:autoSpaceDE/>
              <w:autoSpaceDN/>
              <w:bidi w:val="0"/>
              <w:adjustRightInd/>
              <w:snapToGrid/>
              <w:spacing w:before="100" w:beforeAutospacing="1" w:after="100" w:afterAutospacing="1" w:line="360" w:lineRule="auto"/>
              <w:jc w:val="left"/>
              <w:textAlignment w:val="auto"/>
              <w:rPr>
                <w:rFonts w:ascii="宋体" w:hAnsi="宋体"/>
                <w:color w:val="000000"/>
                <w:kern w:val="0"/>
                <w:sz w:val="21"/>
                <w:szCs w:val="21"/>
              </w:rPr>
            </w:pPr>
            <w:r>
              <w:rPr>
                <w:rFonts w:hint="eastAsia" w:ascii="宋体" w:hAnsi="宋体"/>
                <w:color w:val="000000"/>
                <w:kern w:val="0"/>
                <w:sz w:val="21"/>
                <w:szCs w:val="21"/>
              </w:rPr>
              <w:t>信守承诺、回报与增长、公司治理、控制风险、经验分享、完善服务体系，尊重客户意愿，与客户和谐发展</w:t>
            </w:r>
          </w:p>
        </w:tc>
        <w:tc>
          <w:tcPr>
            <w:tcW w:w="4275" w:type="dxa"/>
            <w:tcBorders>
              <w:tl2br w:val="nil"/>
              <w:tr2bl w:val="nil"/>
            </w:tcBorders>
            <w:noWrap w:val="0"/>
            <w:vAlign w:val="center"/>
          </w:tcPr>
          <w:p w14:paraId="0A4D760D">
            <w:pPr>
              <w:keepNext w:val="0"/>
              <w:keepLines w:val="0"/>
              <w:pageBreakBefore w:val="0"/>
              <w:widowControl/>
              <w:kinsoku/>
              <w:wordWrap/>
              <w:overflowPunct/>
              <w:topLinePunct w:val="0"/>
              <w:autoSpaceDE/>
              <w:autoSpaceDN/>
              <w:bidi w:val="0"/>
              <w:adjustRightInd/>
              <w:snapToGrid/>
              <w:spacing w:before="100" w:beforeAutospacing="1" w:after="100" w:afterAutospacing="1" w:line="360" w:lineRule="auto"/>
              <w:jc w:val="left"/>
              <w:textAlignment w:val="auto"/>
              <w:rPr>
                <w:rFonts w:ascii="宋体" w:hAnsi="宋体"/>
                <w:color w:val="000000"/>
                <w:kern w:val="0"/>
                <w:sz w:val="21"/>
                <w:szCs w:val="21"/>
              </w:rPr>
            </w:pPr>
            <w:r>
              <w:rPr>
                <w:rFonts w:hint="eastAsia" w:ascii="宋体" w:hAnsi="宋体"/>
                <w:color w:val="000000"/>
                <w:kern w:val="0"/>
                <w:sz w:val="21"/>
                <w:szCs w:val="21"/>
              </w:rPr>
              <w:t>定期进行外部客户满意度调查，征集加盟商意见、依法履行合同、营销大会、报告与通报、带动行业健康发展</w:t>
            </w:r>
          </w:p>
        </w:tc>
      </w:tr>
      <w:tr w14:paraId="7D9C35D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1562" w:type="dxa"/>
            <w:tcBorders>
              <w:tl2br w:val="nil"/>
              <w:tr2bl w:val="nil"/>
            </w:tcBorders>
            <w:noWrap w:val="0"/>
            <w:vAlign w:val="center"/>
          </w:tcPr>
          <w:p w14:paraId="30FF0579">
            <w:pPr>
              <w:keepNext w:val="0"/>
              <w:keepLines w:val="0"/>
              <w:pageBreakBefore w:val="0"/>
              <w:widowControl/>
              <w:kinsoku/>
              <w:wordWrap/>
              <w:overflowPunct/>
              <w:topLinePunct w:val="0"/>
              <w:autoSpaceDE/>
              <w:autoSpaceDN/>
              <w:bidi w:val="0"/>
              <w:adjustRightInd/>
              <w:snapToGrid/>
              <w:spacing w:before="100" w:beforeAutospacing="1" w:after="100" w:afterAutospacing="1" w:line="360" w:lineRule="auto"/>
              <w:jc w:val="center"/>
              <w:textAlignment w:val="auto"/>
              <w:rPr>
                <w:rFonts w:ascii="宋体" w:hAnsi="宋体"/>
                <w:color w:val="000000"/>
                <w:kern w:val="0"/>
                <w:sz w:val="21"/>
                <w:szCs w:val="21"/>
              </w:rPr>
            </w:pPr>
            <w:r>
              <w:rPr>
                <w:rFonts w:hint="eastAsia" w:ascii="宋体" w:hAnsi="宋体"/>
                <w:color w:val="000000"/>
                <w:kern w:val="0"/>
                <w:sz w:val="21"/>
                <w:szCs w:val="21"/>
              </w:rPr>
              <w:t>环境</w:t>
            </w:r>
          </w:p>
        </w:tc>
        <w:tc>
          <w:tcPr>
            <w:tcW w:w="3562" w:type="dxa"/>
            <w:tcBorders>
              <w:tl2br w:val="nil"/>
              <w:tr2bl w:val="nil"/>
            </w:tcBorders>
            <w:noWrap w:val="0"/>
            <w:vAlign w:val="center"/>
          </w:tcPr>
          <w:p w14:paraId="618E7669">
            <w:pPr>
              <w:keepNext w:val="0"/>
              <w:keepLines w:val="0"/>
              <w:pageBreakBefore w:val="0"/>
              <w:widowControl/>
              <w:kinsoku/>
              <w:wordWrap/>
              <w:overflowPunct/>
              <w:topLinePunct w:val="0"/>
              <w:autoSpaceDE/>
              <w:autoSpaceDN/>
              <w:bidi w:val="0"/>
              <w:adjustRightInd/>
              <w:snapToGrid/>
              <w:spacing w:before="100" w:beforeAutospacing="1" w:after="100" w:afterAutospacing="1" w:line="360" w:lineRule="auto"/>
              <w:jc w:val="left"/>
              <w:textAlignment w:val="auto"/>
              <w:rPr>
                <w:rFonts w:ascii="宋体" w:hAnsi="宋体"/>
                <w:color w:val="000000"/>
                <w:kern w:val="0"/>
                <w:sz w:val="21"/>
                <w:szCs w:val="21"/>
              </w:rPr>
            </w:pPr>
            <w:r>
              <w:rPr>
                <w:rFonts w:hint="eastAsia" w:ascii="宋体" w:hAnsi="宋体"/>
                <w:color w:val="000000"/>
                <w:kern w:val="0"/>
                <w:sz w:val="21"/>
                <w:szCs w:val="21"/>
              </w:rPr>
              <w:t>节能减排、保护生态</w:t>
            </w:r>
          </w:p>
        </w:tc>
        <w:tc>
          <w:tcPr>
            <w:tcW w:w="4275" w:type="dxa"/>
            <w:tcBorders>
              <w:tl2br w:val="nil"/>
              <w:tr2bl w:val="nil"/>
            </w:tcBorders>
            <w:noWrap w:val="0"/>
            <w:vAlign w:val="center"/>
          </w:tcPr>
          <w:p w14:paraId="1D5567D4">
            <w:pPr>
              <w:keepNext w:val="0"/>
              <w:keepLines w:val="0"/>
              <w:pageBreakBefore w:val="0"/>
              <w:widowControl/>
              <w:kinsoku/>
              <w:wordWrap/>
              <w:overflowPunct/>
              <w:topLinePunct w:val="0"/>
              <w:autoSpaceDE/>
              <w:autoSpaceDN/>
              <w:bidi w:val="0"/>
              <w:adjustRightInd/>
              <w:snapToGrid/>
              <w:spacing w:before="100" w:beforeAutospacing="1" w:after="100" w:afterAutospacing="1" w:line="360" w:lineRule="auto"/>
              <w:jc w:val="left"/>
              <w:textAlignment w:val="auto"/>
              <w:rPr>
                <w:rFonts w:ascii="宋体" w:hAnsi="宋体"/>
                <w:color w:val="000000"/>
                <w:kern w:val="0"/>
                <w:sz w:val="21"/>
                <w:szCs w:val="21"/>
              </w:rPr>
            </w:pPr>
            <w:r>
              <w:rPr>
                <w:rFonts w:hint="eastAsia" w:ascii="宋体" w:hAnsi="宋体"/>
                <w:color w:val="000000"/>
                <w:kern w:val="0"/>
                <w:sz w:val="21"/>
                <w:szCs w:val="21"/>
              </w:rPr>
              <w:t>绿色企业</w:t>
            </w:r>
          </w:p>
        </w:tc>
      </w:tr>
      <w:tr w14:paraId="352AB63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71" w:hRule="atLeast"/>
        </w:trPr>
        <w:tc>
          <w:tcPr>
            <w:tcW w:w="1562" w:type="dxa"/>
            <w:tcBorders>
              <w:tl2br w:val="nil"/>
              <w:tr2bl w:val="nil"/>
            </w:tcBorders>
            <w:noWrap w:val="0"/>
            <w:vAlign w:val="center"/>
          </w:tcPr>
          <w:p w14:paraId="0A6C03B0">
            <w:pPr>
              <w:keepNext w:val="0"/>
              <w:keepLines w:val="0"/>
              <w:pageBreakBefore w:val="0"/>
              <w:widowControl/>
              <w:kinsoku/>
              <w:wordWrap/>
              <w:overflowPunct/>
              <w:topLinePunct w:val="0"/>
              <w:autoSpaceDE/>
              <w:autoSpaceDN/>
              <w:bidi w:val="0"/>
              <w:adjustRightInd/>
              <w:snapToGrid/>
              <w:spacing w:before="100" w:beforeAutospacing="1" w:after="100" w:afterAutospacing="1" w:line="360" w:lineRule="auto"/>
              <w:jc w:val="center"/>
              <w:textAlignment w:val="auto"/>
              <w:rPr>
                <w:rFonts w:ascii="宋体" w:hAnsi="宋体"/>
                <w:color w:val="000000"/>
                <w:kern w:val="0"/>
                <w:sz w:val="21"/>
                <w:szCs w:val="21"/>
              </w:rPr>
            </w:pPr>
            <w:r>
              <w:rPr>
                <w:rFonts w:hint="eastAsia" w:ascii="宋体" w:hAnsi="宋体"/>
                <w:color w:val="000000"/>
                <w:kern w:val="0"/>
                <w:sz w:val="21"/>
                <w:szCs w:val="21"/>
              </w:rPr>
              <w:t>社会和公众</w:t>
            </w:r>
          </w:p>
        </w:tc>
        <w:tc>
          <w:tcPr>
            <w:tcW w:w="3562" w:type="dxa"/>
            <w:tcBorders>
              <w:tl2br w:val="nil"/>
              <w:tr2bl w:val="nil"/>
            </w:tcBorders>
            <w:noWrap w:val="0"/>
            <w:vAlign w:val="center"/>
          </w:tcPr>
          <w:p w14:paraId="7FD82C92">
            <w:pPr>
              <w:keepNext w:val="0"/>
              <w:keepLines w:val="0"/>
              <w:pageBreakBefore w:val="0"/>
              <w:widowControl/>
              <w:kinsoku/>
              <w:wordWrap/>
              <w:overflowPunct/>
              <w:topLinePunct w:val="0"/>
              <w:autoSpaceDE/>
              <w:autoSpaceDN/>
              <w:bidi w:val="0"/>
              <w:adjustRightInd/>
              <w:snapToGrid/>
              <w:spacing w:before="100" w:beforeAutospacing="1" w:after="100" w:afterAutospacing="1" w:line="360" w:lineRule="auto"/>
              <w:jc w:val="left"/>
              <w:textAlignment w:val="auto"/>
              <w:rPr>
                <w:rFonts w:ascii="宋体" w:hAnsi="宋体"/>
                <w:color w:val="000000"/>
                <w:kern w:val="0"/>
                <w:sz w:val="21"/>
                <w:szCs w:val="21"/>
              </w:rPr>
            </w:pPr>
            <w:r>
              <w:rPr>
                <w:rFonts w:hint="eastAsia" w:ascii="宋体" w:hAnsi="宋体"/>
                <w:color w:val="000000"/>
                <w:kern w:val="0"/>
                <w:sz w:val="21"/>
                <w:szCs w:val="21"/>
              </w:rPr>
              <w:t>支持社会发展、关注弱势群体、扶贫济困</w:t>
            </w:r>
          </w:p>
        </w:tc>
        <w:tc>
          <w:tcPr>
            <w:tcW w:w="4275" w:type="dxa"/>
            <w:tcBorders>
              <w:tl2br w:val="nil"/>
              <w:tr2bl w:val="nil"/>
            </w:tcBorders>
            <w:noWrap w:val="0"/>
            <w:vAlign w:val="center"/>
          </w:tcPr>
          <w:p w14:paraId="31DC5664">
            <w:pPr>
              <w:keepNext w:val="0"/>
              <w:keepLines w:val="0"/>
              <w:pageBreakBefore w:val="0"/>
              <w:widowControl/>
              <w:kinsoku/>
              <w:wordWrap/>
              <w:overflowPunct/>
              <w:topLinePunct w:val="0"/>
              <w:autoSpaceDE/>
              <w:autoSpaceDN/>
              <w:bidi w:val="0"/>
              <w:adjustRightInd/>
              <w:snapToGrid/>
              <w:spacing w:before="100" w:beforeAutospacing="1" w:after="100" w:afterAutospacing="1" w:line="360" w:lineRule="auto"/>
              <w:jc w:val="left"/>
              <w:textAlignment w:val="auto"/>
              <w:rPr>
                <w:rFonts w:ascii="宋体" w:hAnsi="宋体"/>
                <w:color w:val="000000"/>
                <w:kern w:val="0"/>
                <w:sz w:val="21"/>
                <w:szCs w:val="21"/>
              </w:rPr>
            </w:pPr>
            <w:r>
              <w:rPr>
                <w:rFonts w:hint="eastAsia" w:ascii="宋体" w:hAnsi="宋体"/>
                <w:color w:val="000000"/>
                <w:kern w:val="0"/>
                <w:sz w:val="21"/>
                <w:szCs w:val="21"/>
              </w:rPr>
              <w:t>积极为创意产业挖掘、培养人才、持续参与慈善事业，积极投身公益事业</w:t>
            </w:r>
          </w:p>
        </w:tc>
      </w:tr>
    </w:tbl>
    <w:p w14:paraId="210FDA7F">
      <w:pPr>
        <w:pStyle w:val="3"/>
        <w:spacing w:line="240" w:lineRule="auto"/>
      </w:pPr>
      <w:bookmarkStart w:id="23" w:name="_Toc3091"/>
      <w:r>
        <w:rPr>
          <w:rFonts w:hint="eastAsia"/>
        </w:rPr>
        <w:t>十一、股东及其他相关方利益的保护</w:t>
      </w:r>
      <w:bookmarkEnd w:id="23"/>
    </w:p>
    <w:p w14:paraId="00632004">
      <w:pPr>
        <w:spacing w:line="360" w:lineRule="auto"/>
        <w:rPr>
          <w:rFonts w:hint="eastAsia" w:eastAsia="宋体"/>
          <w:b/>
          <w:color w:val="000000"/>
          <w:sz w:val="24"/>
          <w:szCs w:val="24"/>
          <w:lang w:eastAsia="zh-CN"/>
        </w:rPr>
      </w:pPr>
      <w:r>
        <w:rPr>
          <w:b/>
          <w:color w:val="000000"/>
          <w:sz w:val="24"/>
          <w:szCs w:val="24"/>
        </w:rPr>
        <w:t>1</w:t>
      </w:r>
      <w:r>
        <w:rPr>
          <w:rFonts w:hint="eastAsia"/>
          <w:b/>
          <w:color w:val="000000"/>
          <w:sz w:val="24"/>
          <w:szCs w:val="24"/>
        </w:rPr>
        <w:t>、股东利益的保护</w:t>
      </w:r>
    </w:p>
    <w:p w14:paraId="3A38D2D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000000"/>
          <w:sz w:val="24"/>
          <w:szCs w:val="24"/>
        </w:rPr>
      </w:pPr>
      <w:r>
        <w:rPr>
          <w:rFonts w:hint="eastAsia"/>
          <w:color w:val="000000"/>
          <w:sz w:val="24"/>
          <w:szCs w:val="24"/>
        </w:rPr>
        <w:t>公司遵照《公司法》、《公司章程》及内部管理制度，保障股东充分享有各项合法权益。每年定期召开股东会议，针对重大决策进行讨论决定。</w:t>
      </w:r>
    </w:p>
    <w:p w14:paraId="0EA05CD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000000"/>
          <w:sz w:val="24"/>
          <w:szCs w:val="24"/>
        </w:rPr>
      </w:pPr>
      <w:r>
        <w:rPr>
          <w:rFonts w:hint="eastAsia"/>
          <w:color w:val="000000"/>
          <w:sz w:val="24"/>
          <w:szCs w:val="24"/>
        </w:rPr>
        <w:t>加建立良好的投资者关系。公司一直非常重视投资者关系管理，与投资者保持着通畅、真诚的关系。</w:t>
      </w:r>
    </w:p>
    <w:p w14:paraId="4B02C500">
      <w:pPr>
        <w:spacing w:line="360" w:lineRule="auto"/>
        <w:rPr>
          <w:b/>
          <w:color w:val="000000"/>
          <w:sz w:val="24"/>
          <w:szCs w:val="24"/>
        </w:rPr>
      </w:pPr>
      <w:r>
        <w:rPr>
          <w:b/>
          <w:color w:val="000000"/>
          <w:sz w:val="24"/>
          <w:szCs w:val="24"/>
        </w:rPr>
        <w:t>2</w:t>
      </w:r>
      <w:r>
        <w:rPr>
          <w:rFonts w:hint="eastAsia"/>
          <w:b/>
          <w:color w:val="000000"/>
          <w:sz w:val="24"/>
          <w:szCs w:val="24"/>
        </w:rPr>
        <w:t>、供应商利益的保护</w:t>
      </w:r>
    </w:p>
    <w:p w14:paraId="56ADEE21">
      <w:pPr>
        <w:spacing w:line="360" w:lineRule="auto"/>
        <w:ind w:firstLine="480" w:firstLineChars="200"/>
        <w:rPr>
          <w:rFonts w:hint="eastAsia"/>
          <w:color w:val="000000"/>
          <w:sz w:val="24"/>
          <w:szCs w:val="24"/>
        </w:rPr>
      </w:pPr>
      <w:r>
        <w:rPr>
          <w:rFonts w:hint="eastAsia"/>
          <w:color w:val="000000"/>
          <w:sz w:val="24"/>
          <w:szCs w:val="24"/>
        </w:rPr>
        <w:t>坚持“共赢”原则，与供应商共同成长。公司充分尊重并保护供应商的合法利益，建立了公平、公正的评估体系，在公平公正、充分竞争的基础上择优选择供应商，保证采购成本和质量的控制。公司每年对供应商进行评估，评选优秀供应商并与其签订战略合作协议。</w:t>
      </w:r>
    </w:p>
    <w:p w14:paraId="62E43C58">
      <w:pPr>
        <w:spacing w:line="360" w:lineRule="auto"/>
        <w:rPr>
          <w:rFonts w:hint="eastAsia"/>
          <w:color w:val="000000"/>
          <w:sz w:val="24"/>
          <w:szCs w:val="24"/>
        </w:rPr>
      </w:pPr>
      <w:r>
        <w:rPr>
          <w:b/>
          <w:color w:val="000000"/>
          <w:sz w:val="24"/>
          <w:szCs w:val="24"/>
        </w:rPr>
        <w:t>3</w:t>
      </w:r>
      <w:r>
        <w:rPr>
          <w:rFonts w:hint="eastAsia"/>
          <w:b/>
          <w:color w:val="000000"/>
          <w:sz w:val="24"/>
          <w:szCs w:val="24"/>
        </w:rPr>
        <w:t>、客户利益的保护</w:t>
      </w:r>
    </w:p>
    <w:p w14:paraId="5AA563FD">
      <w:pPr>
        <w:spacing w:line="360" w:lineRule="auto"/>
        <w:ind w:firstLine="480" w:firstLineChars="200"/>
        <w:rPr>
          <w:rFonts w:hint="eastAsia" w:eastAsia="宋体" w:cs="Times New Roman"/>
          <w:color w:val="000000"/>
          <w:sz w:val="24"/>
          <w:szCs w:val="24"/>
        </w:rPr>
      </w:pPr>
      <w:r>
        <w:rPr>
          <w:rFonts w:hint="eastAsia" w:eastAsia="宋体" w:cs="Times New Roman"/>
          <w:color w:val="000000"/>
          <w:sz w:val="24"/>
          <w:szCs w:val="24"/>
        </w:rPr>
        <w:t>完善服务体系，尊重客户意愿，与客户和谐发展。公司重视与客户的长期合作，公司以制度化管理为基准，导入精细化管理、绩效管理、6S管理，明确公司组织架构、部门目标、岗位职责等，确保公司管理效益提升；公司引入信息化管理，建立运营管理全过程数据链，提升企业运营效率；推行智能化设备设施应用，提升产品制造精度及效率。满足顾客需求，不断追求产品升级。</w:t>
      </w:r>
    </w:p>
    <w:p w14:paraId="7412FB19">
      <w:pPr>
        <w:spacing w:line="360" w:lineRule="auto"/>
        <w:rPr>
          <w:rFonts w:hint="eastAsia"/>
          <w:b/>
          <w:color w:val="000000"/>
          <w:sz w:val="24"/>
          <w:szCs w:val="24"/>
        </w:rPr>
      </w:pPr>
      <w:r>
        <w:rPr>
          <w:b/>
          <w:color w:val="000000"/>
          <w:sz w:val="24"/>
          <w:szCs w:val="24"/>
        </w:rPr>
        <w:t>4</w:t>
      </w:r>
      <w:r>
        <w:rPr>
          <w:rFonts w:hint="eastAsia"/>
          <w:b/>
          <w:color w:val="000000"/>
          <w:sz w:val="24"/>
          <w:szCs w:val="24"/>
        </w:rPr>
        <w:t>、社会利益的保护</w:t>
      </w:r>
    </w:p>
    <w:p w14:paraId="3BE3670F">
      <w:pPr>
        <w:spacing w:line="360" w:lineRule="auto"/>
        <w:ind w:firstLine="480" w:firstLineChars="200"/>
        <w:rPr>
          <w:rFonts w:hint="eastAsia"/>
          <w:color w:val="000000"/>
          <w:sz w:val="24"/>
          <w:szCs w:val="24"/>
        </w:rPr>
      </w:pPr>
      <w:r>
        <w:rPr>
          <w:rFonts w:hint="eastAsia"/>
          <w:color w:val="000000"/>
          <w:sz w:val="24"/>
          <w:szCs w:val="24"/>
        </w:rPr>
        <w:t>自觉遵守国家有关法律法规，积极履行纳税义务，依法纳税，接受税务部门的检查和监督。多年来，公司一直都是当地的纳税大户，较好地推动了当地的经济建设，对当地企业也起到了良好的带头作用。</w:t>
      </w:r>
    </w:p>
    <w:p w14:paraId="4DA1EB16">
      <w:pPr>
        <w:spacing w:line="360" w:lineRule="auto"/>
        <w:ind w:firstLine="480" w:firstLineChars="200"/>
        <w:rPr>
          <w:rFonts w:hint="eastAsia"/>
          <w:color w:val="000000"/>
          <w:sz w:val="24"/>
          <w:szCs w:val="24"/>
        </w:rPr>
      </w:pPr>
      <w:r>
        <w:rPr>
          <w:rFonts w:hint="eastAsia"/>
          <w:color w:val="000000"/>
          <w:sz w:val="24"/>
          <w:szCs w:val="24"/>
        </w:rPr>
        <w:t>公司</w:t>
      </w:r>
      <w:r>
        <w:rPr>
          <w:rFonts w:hint="eastAsia"/>
          <w:color w:val="000000"/>
          <w:sz w:val="24"/>
          <w:szCs w:val="24"/>
          <w:lang w:val="en-US" w:eastAsia="zh-CN"/>
        </w:rPr>
        <w:t>28</w:t>
      </w:r>
      <w:r>
        <w:rPr>
          <w:rFonts w:hint="eastAsia"/>
          <w:color w:val="000000"/>
          <w:sz w:val="24"/>
          <w:szCs w:val="24"/>
        </w:rPr>
        <w:t>年以来，本着企业发展以人为本观念，不断引进、招聘各岗位人员，培养各岗位人员。</w:t>
      </w:r>
    </w:p>
    <w:p w14:paraId="1CC6F955">
      <w:pPr>
        <w:spacing w:line="360" w:lineRule="auto"/>
        <w:ind w:firstLine="482" w:firstLineChars="200"/>
        <w:rPr>
          <w:b/>
          <w:color w:val="000000"/>
          <w:sz w:val="24"/>
          <w:szCs w:val="24"/>
        </w:rPr>
      </w:pPr>
      <w:r>
        <w:rPr>
          <w:b/>
          <w:color w:val="000000"/>
          <w:sz w:val="24"/>
          <w:szCs w:val="24"/>
        </w:rPr>
        <w:t>5</w:t>
      </w:r>
      <w:r>
        <w:rPr>
          <w:rFonts w:hint="eastAsia"/>
          <w:b/>
          <w:color w:val="000000"/>
          <w:sz w:val="24"/>
          <w:szCs w:val="24"/>
        </w:rPr>
        <w:t>、员工利益的保护</w:t>
      </w:r>
    </w:p>
    <w:p w14:paraId="37A0762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000000"/>
          <w:sz w:val="24"/>
          <w:szCs w:val="24"/>
        </w:rPr>
      </w:pPr>
      <w:r>
        <w:rPr>
          <w:rFonts w:hint="eastAsia"/>
          <w:color w:val="000000"/>
          <w:sz w:val="24"/>
          <w:szCs w:val="24"/>
        </w:rPr>
        <w:t>严格遵守《劳动法》，保障职工的合法权益。公司严格遵守《劳动法》、《劳动合同法》等法律法规的规定，实行全员劳动合同制，与所有员工签订劳动合同；严格执行社会保障制度，参加社会保险、住房公积金，切实维护员工的合法权益。同时，公司还重视对员工的福利建设，如“三八节”、“端午节”、“中秋节”、“春节”等传统节日为职工送上礼品。</w:t>
      </w:r>
    </w:p>
    <w:p w14:paraId="1CB3171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eastAsia="宋体"/>
          <w:color w:val="000000"/>
          <w:sz w:val="24"/>
          <w:szCs w:val="24"/>
          <w:lang w:eastAsia="zh-CN"/>
        </w:rPr>
      </w:pPr>
      <w:r>
        <w:rPr>
          <w:rFonts w:hint="eastAsia"/>
          <w:color w:val="000000"/>
          <w:sz w:val="24"/>
          <w:szCs w:val="24"/>
        </w:rPr>
        <w:t>积极倡导员工参与企业党建、工会组织、业余文化活动等，树立员工国家意识、社会责任，丰富员工业余生活。</w:t>
      </w:r>
    </w:p>
    <w:p w14:paraId="7ECF89C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000000"/>
          <w:sz w:val="24"/>
          <w:szCs w:val="24"/>
        </w:rPr>
      </w:pPr>
      <w:r>
        <w:rPr>
          <w:rFonts w:hint="eastAsia"/>
          <w:color w:val="000000"/>
          <w:sz w:val="24"/>
          <w:szCs w:val="24"/>
        </w:rPr>
        <w:t>完善薪酬管理制度。公司建立了较为科学的人力资源管理制度和薪酬绩效体系，公司与员工签订公平、明确、真实、合法的劳动合同，规范公司与员工之间的权利义务，确保员工享受应有的福利待遇。</w:t>
      </w:r>
    </w:p>
    <w:p w14:paraId="3ECD84FF">
      <w:pPr>
        <w:pStyle w:val="3"/>
        <w:tabs>
          <w:tab w:val="left" w:pos="6300"/>
        </w:tabs>
        <w:rPr>
          <w:rFonts w:hint="eastAsia" w:ascii="Calibri Light" w:hAnsi="Calibri Light" w:eastAsia="宋体" w:cs="Times New Roman"/>
          <w:b/>
          <w:bCs/>
          <w:sz w:val="32"/>
          <w:szCs w:val="32"/>
        </w:rPr>
      </w:pPr>
      <w:bookmarkStart w:id="24" w:name="_Toc10897"/>
      <w:r>
        <w:rPr>
          <w:rFonts w:hint="eastAsia"/>
        </w:rPr>
        <w:t>十二、社会责任</w:t>
      </w:r>
      <w:bookmarkEnd w:id="24"/>
    </w:p>
    <w:p w14:paraId="2215E35B">
      <w:pPr>
        <w:spacing w:line="360" w:lineRule="auto"/>
        <w:ind w:firstLine="360" w:firstLineChars="150"/>
        <w:rPr>
          <w:rFonts w:hint="eastAsia" w:eastAsia="宋体" w:cs="Times New Roman"/>
          <w:color w:val="000000"/>
          <w:sz w:val="24"/>
          <w:szCs w:val="24"/>
          <w:lang w:val="en-US" w:eastAsia="zh-CN"/>
        </w:rPr>
      </w:pPr>
      <w:r>
        <w:rPr>
          <w:rFonts w:hint="eastAsia" w:eastAsia="宋体" w:cs="Times New Roman"/>
          <w:color w:val="000000"/>
          <w:sz w:val="24"/>
          <w:szCs w:val="24"/>
        </w:rPr>
        <w:t>公司积极秉承以社会责任感为核心的精神内核，致力于企业遵纪守法、企业诚信、企业健康发展、企业技术进步、企业和谐劳动关系、社会慈善、环境责任等各个领域的建设，在取得良好经济效益的同时，也取得了良好的社会信誉。</w:t>
      </w:r>
      <w:r>
        <w:rPr>
          <w:rFonts w:hint="eastAsia" w:eastAsia="宋体" w:cs="Times New Roman"/>
          <w:color w:val="000000"/>
          <w:sz w:val="24"/>
          <w:szCs w:val="24"/>
          <w:lang w:val="en-US" w:eastAsia="zh-CN"/>
        </w:rPr>
        <w:t>公司高层以科学发展观为指导，强化“企业公民”意识。公司高层始终坚持，在企业发展的同时，要积极反哺社会，为社会做出力所能及的贡献，这是企业的责任所在，也是企业价值的真正体现。</w:t>
      </w:r>
    </w:p>
    <w:p w14:paraId="6DD22581">
      <w:pPr>
        <w:spacing w:line="360" w:lineRule="auto"/>
        <w:ind w:firstLine="360" w:firstLineChars="150"/>
        <w:rPr>
          <w:rFonts w:hint="eastAsia" w:eastAsia="宋体" w:cs="Times New Roman"/>
          <w:color w:val="000000"/>
          <w:sz w:val="24"/>
          <w:szCs w:val="24"/>
          <w:lang w:val="en-US" w:eastAsia="zh-CN"/>
        </w:rPr>
      </w:pPr>
      <w:r>
        <w:rPr>
          <w:rFonts w:hint="eastAsia" w:eastAsia="宋体" w:cs="Times New Roman"/>
          <w:color w:val="000000"/>
          <w:sz w:val="24"/>
          <w:szCs w:val="24"/>
          <w:lang w:val="en-US" w:eastAsia="zh-CN"/>
        </w:rPr>
        <w:t>作为当地利税大户之一，并带动周边关联产业发展；公司恪守道德规范，在环境保护、能源消耗、安全生产等方面严格执行法律法规，并积极推动公益事业发展，切实履行企业社会责任，公开发布《社会责任报告》和《质量诚信报告》在公司官网上；公司先后通过了先后通过了ISO 9001、ISO 14001、ISO 45001等一系列国内外认证，并有效导入到各岗位，提升各部门的管理水平。公司的产品、服务和运营主要涉及到质量安全、环境保护、能源节约、资源综合利用、安全生产、公共卫生等方面的影响。其中，环境保护方面主要有废水、烟尘、固体废弃物污染等；安全生产方面风险有机械伤害等；能源节约主要有电力、水等；公共卫生主要包括生活垃圾、生活污水等。</w:t>
      </w:r>
    </w:p>
    <w:p w14:paraId="03E5AC35">
      <w:pPr>
        <w:spacing w:line="360" w:lineRule="auto"/>
        <w:ind w:firstLine="480" w:firstLineChars="200"/>
        <w:rPr>
          <w:rFonts w:hint="eastAsia" w:eastAsia="宋体" w:cs="Times New Roman"/>
          <w:color w:val="000000"/>
          <w:sz w:val="24"/>
          <w:szCs w:val="24"/>
          <w:lang w:val="en-US" w:eastAsia="zh-CN"/>
        </w:rPr>
      </w:pPr>
      <w:r>
        <w:rPr>
          <w:rFonts w:hint="eastAsia" w:eastAsia="宋体" w:cs="Times New Roman"/>
          <w:color w:val="000000"/>
          <w:sz w:val="24"/>
          <w:szCs w:val="24"/>
          <w:lang w:val="en-US" w:eastAsia="zh-CN"/>
        </w:rPr>
        <w:t>公司严格按照《环境保护法》、《大气污染防治法》、《水污染防治法》、《安全生产法》、《消防法》、《固体废物污染环境防治法》等国家有关法律法规，制订相关方环境、职业健康安全控制程序等制度。公司非常关注自身产品、服务及运营方面对未来质量安全、环境、能源消耗、资源综合利用以及公共卫生等方面可能存在的公众隐忧，积极研究对策并预先做出应对准备。</w:t>
      </w:r>
    </w:p>
    <w:p w14:paraId="398385FC">
      <w:pPr>
        <w:spacing w:line="360" w:lineRule="auto"/>
        <w:ind w:firstLine="480" w:firstLineChars="200"/>
        <w:rPr>
          <w:rFonts w:hint="eastAsia" w:eastAsia="宋体" w:cs="Times New Roman"/>
          <w:color w:val="000000"/>
          <w:sz w:val="24"/>
          <w:szCs w:val="24"/>
          <w:lang w:val="en-US" w:eastAsia="zh-CN"/>
        </w:rPr>
      </w:pPr>
      <w:r>
        <w:rPr>
          <w:rFonts w:hint="eastAsia" w:eastAsia="宋体" w:cs="Times New Roman"/>
          <w:color w:val="000000"/>
          <w:sz w:val="24"/>
          <w:szCs w:val="24"/>
          <w:lang w:val="en-US" w:eastAsia="zh-CN"/>
        </w:rPr>
        <w:t>公司对产品、服务和运营中对在质量安全、环境保护、能源节约、资源综合利用、安全生产、产品安全、公共卫生等方面进行风险识别，确立目标及测量方法，并在关键过程采取有力措施。公司以“用良知之心、铸良知产品、做良知企业”为核心价值观，在发展过程中坚持和倡导诚信，强调诚信经营、诚信品质、诚信纳税、诚信守法，切实履行法律法规和道德规范。公司对客户诚信，以顾客为导向，注重做好产品销售与售后服务，赢得了客户的信任、支持和肯定；公司对员工诚信，在工作、生活等方面身体力行关爱员工，提高员工满意度。公司合同履约率100%，确保与合作伙伴建立健康、规范的良好合作关系，打造信用企业。</w:t>
      </w:r>
    </w:p>
    <w:p w14:paraId="3D75EA93">
      <w:pPr>
        <w:spacing w:line="360" w:lineRule="auto"/>
        <w:ind w:firstLine="480" w:firstLineChars="200"/>
        <w:rPr>
          <w:rFonts w:hint="default" w:eastAsia="宋体" w:cs="Times New Roman"/>
          <w:color w:val="000000"/>
          <w:sz w:val="24"/>
          <w:szCs w:val="24"/>
          <w:lang w:val="en-US"/>
        </w:rPr>
      </w:pPr>
      <w:r>
        <w:rPr>
          <w:rFonts w:hint="eastAsia" w:eastAsia="宋体" w:cs="Times New Roman"/>
          <w:color w:val="000000"/>
          <w:sz w:val="24"/>
          <w:szCs w:val="24"/>
          <w:lang w:val="en-US" w:eastAsia="zh-CN"/>
        </w:rPr>
        <w:t>公司以履行社会责任为提升企业品牌和影响力的重要方式，公司高层领导基于企业文化的责任意识，倡导为社会创造价值，依据公司的发展方向和战略重点，把支持当地经济和行业发展、教育文化事业、公共设施建设、环境建设、慈善事业等方面作为公益事业重点支持方向，积极有效地开展公益活动。公司高层领导团队十分重视并积极投入公益事业。在公司领导的推动下，公司围绕发展战略，制定专项规划，设立专项资金，进行系统的公益活动。根据行业特点、地域实际，确立捐资助学、公益环保、扶贫济困作为公司重点支持领域，并积极促进残疾人就业，对社会稳定起到重要作用。</w:t>
      </w:r>
    </w:p>
    <w:p w14:paraId="0CC19828">
      <w:pPr>
        <w:pStyle w:val="3"/>
      </w:pPr>
      <w:bookmarkStart w:id="25" w:name="_Toc8498"/>
      <w:r>
        <w:rPr>
          <w:rFonts w:hint="eastAsia"/>
        </w:rPr>
        <w:t>十三、 社会认可 </w:t>
      </w:r>
      <w:bookmarkEnd w:id="25"/>
    </w:p>
    <w:p w14:paraId="2021A367">
      <w:pPr>
        <w:spacing w:line="360" w:lineRule="auto"/>
        <w:ind w:firstLine="360" w:firstLineChars="150"/>
        <w:rPr>
          <w:rFonts w:hint="default"/>
          <w:color w:val="000000"/>
          <w:sz w:val="24"/>
          <w:szCs w:val="24"/>
          <w:lang w:val="en-US" w:eastAsia="zh-CN"/>
        </w:rPr>
      </w:pPr>
      <w:r>
        <w:rPr>
          <w:rFonts w:hint="eastAsia"/>
          <w:color w:val="000000"/>
          <w:sz w:val="24"/>
          <w:szCs w:val="24"/>
        </w:rPr>
        <w:t>公司持续完善企业社会责任管理体系，以做一个有责任感的企业为己任，充分履行应尽的社会责任。通过对客户、员工、社区、供方、环境等利益相关者承担责任和义务，在公共责任、道德行为、公益支持等方面做出了积极贡献，实现企业和社会的协调发展。充分得到社会的认可</w:t>
      </w:r>
      <w:r>
        <w:rPr>
          <w:rFonts w:hint="eastAsia"/>
          <w:color w:val="000000"/>
          <w:sz w:val="24"/>
          <w:szCs w:val="24"/>
          <w:lang w:eastAsia="zh-CN"/>
        </w:rPr>
        <w:t>。</w:t>
      </w:r>
      <w:r>
        <w:rPr>
          <w:rFonts w:hint="eastAsia"/>
          <w:color w:val="000000"/>
          <w:sz w:val="24"/>
          <w:szCs w:val="24"/>
          <w:lang w:val="en-US" w:eastAsia="zh-CN"/>
        </w:rPr>
        <w:t>2024年公司组织“特宏阀门相伴小溪村 送温暖”活动，为贫困家庭捐助生活物资、助学款、生活资助等，体现了公司高层的反馈社会的责任感。</w:t>
      </w:r>
    </w:p>
    <w:p w14:paraId="5D33A9A9">
      <w:pPr>
        <w:spacing w:line="360" w:lineRule="auto"/>
        <w:ind w:firstLine="360" w:firstLineChars="150"/>
        <w:rPr>
          <w:rFonts w:hint="eastAsia"/>
          <w:color w:val="000000"/>
          <w:sz w:val="24"/>
          <w:szCs w:val="24"/>
        </w:rPr>
      </w:pPr>
      <w:r>
        <w:rPr>
          <w:rFonts w:hint="eastAsia"/>
          <w:color w:val="000000"/>
          <w:sz w:val="24"/>
          <w:szCs w:val="24"/>
        </w:rPr>
        <w:t>部分荣誉汇总如下：</w:t>
      </w:r>
    </w:p>
    <w:tbl>
      <w:tblPr>
        <w:tblStyle w:val="14"/>
        <w:tblW w:w="915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03"/>
        <w:gridCol w:w="3856"/>
        <w:gridCol w:w="3325"/>
        <w:gridCol w:w="1174"/>
      </w:tblGrid>
      <w:tr w14:paraId="59E8923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4" w:hRule="atLeast"/>
          <w:tblHeader/>
          <w:jc w:val="center"/>
        </w:trPr>
        <w:tc>
          <w:tcPr>
            <w:tcW w:w="803" w:type="dxa"/>
            <w:tcBorders>
              <w:tl2br w:val="nil"/>
              <w:tr2bl w:val="nil"/>
            </w:tcBorders>
            <w:noWrap w:val="0"/>
            <w:vAlign w:val="center"/>
          </w:tcPr>
          <w:p w14:paraId="79732D8C">
            <w:pPr>
              <w:pStyle w:val="46"/>
              <w:keepNext w:val="0"/>
              <w:keepLines w:val="0"/>
              <w:pageBreakBefore w:val="0"/>
              <w:widowControl w:val="0"/>
              <w:kinsoku/>
              <w:wordWrap/>
              <w:overflowPunct/>
              <w:topLinePunct w:val="0"/>
              <w:autoSpaceDE/>
              <w:autoSpaceDN/>
              <w:bidi w:val="0"/>
              <w:adjustRightInd/>
              <w:snapToGrid/>
              <w:ind w:left="0" w:right="0"/>
              <w:jc w:val="center"/>
              <w:textAlignment w:val="auto"/>
              <w:rPr>
                <w:b/>
                <w:color w:val="auto"/>
                <w:sz w:val="21"/>
                <w:szCs w:val="21"/>
              </w:rPr>
            </w:pPr>
            <w:bookmarkStart w:id="26" w:name="_Toc30767"/>
            <w:r>
              <w:rPr>
                <w:rFonts w:hint="eastAsia"/>
                <w:b/>
                <w:color w:val="auto"/>
                <w:sz w:val="21"/>
                <w:szCs w:val="21"/>
              </w:rPr>
              <w:t>序号</w:t>
            </w:r>
          </w:p>
        </w:tc>
        <w:tc>
          <w:tcPr>
            <w:tcW w:w="3856" w:type="dxa"/>
            <w:tcBorders>
              <w:tl2br w:val="nil"/>
              <w:tr2bl w:val="nil"/>
            </w:tcBorders>
            <w:noWrap w:val="0"/>
            <w:vAlign w:val="center"/>
          </w:tcPr>
          <w:p w14:paraId="3B5F9F4C">
            <w:pPr>
              <w:pStyle w:val="46"/>
              <w:keepNext w:val="0"/>
              <w:keepLines w:val="0"/>
              <w:pageBreakBefore w:val="0"/>
              <w:widowControl w:val="0"/>
              <w:kinsoku/>
              <w:wordWrap/>
              <w:overflowPunct/>
              <w:topLinePunct w:val="0"/>
              <w:autoSpaceDE/>
              <w:autoSpaceDN/>
              <w:bidi w:val="0"/>
              <w:adjustRightInd/>
              <w:snapToGrid/>
              <w:ind w:left="0" w:right="0"/>
              <w:jc w:val="center"/>
              <w:textAlignment w:val="auto"/>
              <w:rPr>
                <w:b/>
                <w:color w:val="auto"/>
                <w:sz w:val="21"/>
                <w:szCs w:val="21"/>
              </w:rPr>
            </w:pPr>
            <w:r>
              <w:rPr>
                <w:rFonts w:hint="eastAsia"/>
                <w:b/>
                <w:color w:val="auto"/>
                <w:sz w:val="21"/>
                <w:szCs w:val="21"/>
              </w:rPr>
              <w:t>获</w:t>
            </w:r>
            <w:r>
              <w:rPr>
                <w:b/>
                <w:color w:val="auto"/>
                <w:sz w:val="21"/>
                <w:szCs w:val="21"/>
              </w:rPr>
              <w:t xml:space="preserve"> </w:t>
            </w:r>
            <w:r>
              <w:rPr>
                <w:rFonts w:hint="eastAsia"/>
                <w:b/>
                <w:color w:val="auto"/>
                <w:sz w:val="21"/>
                <w:szCs w:val="21"/>
              </w:rPr>
              <w:t>奖</w:t>
            </w:r>
            <w:r>
              <w:rPr>
                <w:b/>
                <w:color w:val="auto"/>
                <w:sz w:val="21"/>
                <w:szCs w:val="21"/>
              </w:rPr>
              <w:t xml:space="preserve"> </w:t>
            </w:r>
            <w:r>
              <w:rPr>
                <w:rFonts w:hint="eastAsia"/>
                <w:b/>
                <w:color w:val="auto"/>
                <w:sz w:val="21"/>
                <w:szCs w:val="21"/>
              </w:rPr>
              <w:t>名</w:t>
            </w:r>
            <w:r>
              <w:rPr>
                <w:b/>
                <w:color w:val="auto"/>
                <w:sz w:val="21"/>
                <w:szCs w:val="21"/>
              </w:rPr>
              <w:t xml:space="preserve"> </w:t>
            </w:r>
            <w:r>
              <w:rPr>
                <w:rFonts w:hint="eastAsia"/>
                <w:b/>
                <w:color w:val="auto"/>
                <w:sz w:val="21"/>
                <w:szCs w:val="21"/>
              </w:rPr>
              <w:t>称</w:t>
            </w:r>
          </w:p>
        </w:tc>
        <w:tc>
          <w:tcPr>
            <w:tcW w:w="3325" w:type="dxa"/>
            <w:tcBorders>
              <w:tl2br w:val="nil"/>
              <w:tr2bl w:val="nil"/>
            </w:tcBorders>
            <w:noWrap w:val="0"/>
            <w:vAlign w:val="center"/>
          </w:tcPr>
          <w:p w14:paraId="767EF19E">
            <w:pPr>
              <w:pStyle w:val="46"/>
              <w:keepNext w:val="0"/>
              <w:keepLines w:val="0"/>
              <w:pageBreakBefore w:val="0"/>
              <w:widowControl w:val="0"/>
              <w:kinsoku/>
              <w:wordWrap/>
              <w:overflowPunct/>
              <w:topLinePunct w:val="0"/>
              <w:autoSpaceDE/>
              <w:autoSpaceDN/>
              <w:bidi w:val="0"/>
              <w:adjustRightInd/>
              <w:snapToGrid/>
              <w:ind w:left="0" w:right="0"/>
              <w:jc w:val="center"/>
              <w:textAlignment w:val="auto"/>
              <w:rPr>
                <w:b/>
                <w:color w:val="auto"/>
                <w:sz w:val="21"/>
                <w:szCs w:val="21"/>
              </w:rPr>
            </w:pPr>
            <w:r>
              <w:rPr>
                <w:rFonts w:hint="eastAsia"/>
                <w:b/>
                <w:color w:val="auto"/>
                <w:sz w:val="21"/>
                <w:szCs w:val="21"/>
              </w:rPr>
              <w:t>颁</w:t>
            </w:r>
            <w:r>
              <w:rPr>
                <w:b/>
                <w:color w:val="auto"/>
                <w:sz w:val="21"/>
                <w:szCs w:val="21"/>
              </w:rPr>
              <w:t xml:space="preserve"> </w:t>
            </w:r>
            <w:r>
              <w:rPr>
                <w:rFonts w:hint="eastAsia"/>
                <w:b/>
                <w:color w:val="auto"/>
                <w:sz w:val="21"/>
                <w:szCs w:val="21"/>
              </w:rPr>
              <w:t>奖</w:t>
            </w:r>
            <w:r>
              <w:rPr>
                <w:b/>
                <w:color w:val="auto"/>
                <w:sz w:val="21"/>
                <w:szCs w:val="21"/>
              </w:rPr>
              <w:t xml:space="preserve"> </w:t>
            </w:r>
            <w:r>
              <w:rPr>
                <w:rFonts w:hint="eastAsia"/>
                <w:b/>
                <w:color w:val="auto"/>
                <w:sz w:val="21"/>
                <w:szCs w:val="21"/>
              </w:rPr>
              <w:t>部</w:t>
            </w:r>
            <w:r>
              <w:rPr>
                <w:b/>
                <w:color w:val="auto"/>
                <w:sz w:val="21"/>
                <w:szCs w:val="21"/>
              </w:rPr>
              <w:t xml:space="preserve"> </w:t>
            </w:r>
            <w:r>
              <w:rPr>
                <w:rFonts w:hint="eastAsia"/>
                <w:b/>
                <w:color w:val="auto"/>
                <w:sz w:val="21"/>
                <w:szCs w:val="21"/>
              </w:rPr>
              <w:t>门</w:t>
            </w:r>
          </w:p>
        </w:tc>
        <w:tc>
          <w:tcPr>
            <w:tcW w:w="1174" w:type="dxa"/>
            <w:tcBorders>
              <w:tl2br w:val="nil"/>
              <w:tr2bl w:val="nil"/>
            </w:tcBorders>
            <w:noWrap w:val="0"/>
            <w:vAlign w:val="center"/>
          </w:tcPr>
          <w:p w14:paraId="54A57847">
            <w:pPr>
              <w:pStyle w:val="46"/>
              <w:spacing w:before="79"/>
              <w:ind w:left="170" w:right="150"/>
              <w:jc w:val="center"/>
              <w:rPr>
                <w:b/>
                <w:color w:val="auto"/>
                <w:sz w:val="21"/>
                <w:szCs w:val="21"/>
              </w:rPr>
            </w:pPr>
            <w:r>
              <w:rPr>
                <w:rFonts w:hint="eastAsia"/>
                <w:b/>
                <w:color w:val="auto"/>
                <w:sz w:val="21"/>
                <w:szCs w:val="21"/>
              </w:rPr>
              <w:t>获奖时间</w:t>
            </w:r>
          </w:p>
        </w:tc>
      </w:tr>
      <w:tr w14:paraId="42E88B1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803" w:type="dxa"/>
            <w:tcBorders>
              <w:tl2br w:val="nil"/>
              <w:tr2bl w:val="nil"/>
            </w:tcBorders>
            <w:noWrap w:val="0"/>
            <w:vAlign w:val="center"/>
          </w:tcPr>
          <w:p w14:paraId="0A22F56A">
            <w:pPr>
              <w:spacing w:line="360" w:lineRule="auto"/>
              <w:jc w:val="center"/>
              <w:rPr>
                <w:rFonts w:hint="default" w:ascii="宋体" w:hAnsi="宋体"/>
                <w:kern w:val="2"/>
                <w:sz w:val="21"/>
                <w:szCs w:val="21"/>
                <w:highlight w:val="none"/>
                <w:lang w:val="en-US" w:eastAsia="zh-CN" w:bidi="ar-SA"/>
              </w:rPr>
            </w:pPr>
            <w:r>
              <w:rPr>
                <w:rFonts w:hint="eastAsia" w:ascii="宋体" w:hAnsi="宋体"/>
                <w:sz w:val="21"/>
                <w:szCs w:val="21"/>
                <w:highlight w:val="none"/>
                <w:lang w:val="en-US" w:eastAsia="zh-CN"/>
              </w:rPr>
              <w:t>1</w:t>
            </w:r>
          </w:p>
        </w:tc>
        <w:tc>
          <w:tcPr>
            <w:tcW w:w="3856" w:type="dxa"/>
            <w:tcBorders>
              <w:tl2br w:val="nil"/>
              <w:tr2bl w:val="nil"/>
            </w:tcBorders>
            <w:noWrap w:val="0"/>
            <w:vAlign w:val="center"/>
          </w:tcPr>
          <w:p w14:paraId="766F3AC8">
            <w:pPr>
              <w:spacing w:line="360" w:lineRule="auto"/>
              <w:jc w:val="center"/>
              <w:rPr>
                <w:rFonts w:hint="default" w:ascii="宋体" w:hAnsi="宋体" w:cs="宋体"/>
                <w:color w:val="auto"/>
                <w:kern w:val="0"/>
                <w:sz w:val="21"/>
                <w:szCs w:val="21"/>
                <w:highlight w:val="none"/>
                <w:lang w:val="en-US" w:eastAsia="zh-CN" w:bidi="ar-SA"/>
              </w:rPr>
            </w:pPr>
            <w:r>
              <w:rPr>
                <w:rFonts w:hint="eastAsia" w:ascii="宋体" w:hAnsi="宋体" w:cs="宋体"/>
                <w:color w:val="auto"/>
                <w:kern w:val="0"/>
                <w:sz w:val="21"/>
                <w:szCs w:val="21"/>
                <w:highlight w:val="none"/>
                <w:lang w:val="en-US" w:eastAsia="zh-CN" w:bidi="ar-SA"/>
              </w:rPr>
              <w:t>高新技术企业</w:t>
            </w:r>
          </w:p>
        </w:tc>
        <w:tc>
          <w:tcPr>
            <w:tcW w:w="3325" w:type="dxa"/>
            <w:tcBorders>
              <w:tl2br w:val="nil"/>
              <w:tr2bl w:val="nil"/>
            </w:tcBorders>
            <w:noWrap w:val="0"/>
            <w:vAlign w:val="center"/>
          </w:tcPr>
          <w:p w14:paraId="68BF37B6">
            <w:pPr>
              <w:spacing w:line="360" w:lineRule="auto"/>
              <w:jc w:val="center"/>
              <w:rPr>
                <w:rFonts w:hint="default" w:ascii="宋体"/>
                <w:color w:val="auto"/>
                <w:kern w:val="2"/>
                <w:sz w:val="21"/>
                <w:szCs w:val="21"/>
                <w:highlight w:val="none"/>
                <w:lang w:val="en-US" w:eastAsia="zh-CN" w:bidi="ar-SA"/>
              </w:rPr>
            </w:pPr>
            <w:r>
              <w:rPr>
                <w:rFonts w:hint="eastAsia" w:ascii="宋体"/>
                <w:color w:val="auto"/>
                <w:kern w:val="2"/>
                <w:sz w:val="21"/>
                <w:szCs w:val="21"/>
                <w:highlight w:val="none"/>
                <w:lang w:val="en-US" w:eastAsia="zh-CN" w:bidi="ar-SA"/>
              </w:rPr>
              <w:t>浙江省科学技术厅</w:t>
            </w:r>
          </w:p>
        </w:tc>
        <w:tc>
          <w:tcPr>
            <w:tcW w:w="1174" w:type="dxa"/>
            <w:tcBorders>
              <w:tl2br w:val="nil"/>
              <w:tr2bl w:val="nil"/>
            </w:tcBorders>
            <w:noWrap w:val="0"/>
            <w:vAlign w:val="center"/>
          </w:tcPr>
          <w:p w14:paraId="0D54BE46">
            <w:pPr>
              <w:spacing w:line="360" w:lineRule="auto"/>
              <w:jc w:val="center"/>
              <w:rPr>
                <w:rFonts w:hint="default" w:ascii="宋体"/>
                <w:color w:val="auto"/>
                <w:kern w:val="2"/>
                <w:sz w:val="21"/>
                <w:szCs w:val="21"/>
                <w:highlight w:val="none"/>
                <w:lang w:val="en-US" w:eastAsia="zh-CN" w:bidi="ar-SA"/>
              </w:rPr>
            </w:pPr>
            <w:r>
              <w:rPr>
                <w:rFonts w:hint="eastAsia" w:ascii="宋体"/>
                <w:color w:val="auto"/>
                <w:kern w:val="2"/>
                <w:sz w:val="21"/>
                <w:szCs w:val="21"/>
                <w:highlight w:val="none"/>
                <w:lang w:val="en-US" w:eastAsia="zh-CN" w:bidi="ar-SA"/>
              </w:rPr>
              <w:t>2023.12</w:t>
            </w:r>
          </w:p>
        </w:tc>
      </w:tr>
      <w:tr w14:paraId="545CA8C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803" w:type="dxa"/>
            <w:tcBorders>
              <w:tl2br w:val="nil"/>
              <w:tr2bl w:val="nil"/>
            </w:tcBorders>
            <w:noWrap w:val="0"/>
            <w:vAlign w:val="center"/>
          </w:tcPr>
          <w:p w14:paraId="486A3581">
            <w:pPr>
              <w:spacing w:line="360" w:lineRule="auto"/>
              <w:jc w:val="center"/>
              <w:rPr>
                <w:rFonts w:hint="default" w:ascii="宋体" w:hAnsi="宋体"/>
                <w:kern w:val="2"/>
                <w:sz w:val="21"/>
                <w:szCs w:val="21"/>
                <w:highlight w:val="none"/>
                <w:lang w:val="en-US" w:eastAsia="zh-CN" w:bidi="ar-SA"/>
              </w:rPr>
            </w:pPr>
            <w:r>
              <w:rPr>
                <w:rFonts w:hint="eastAsia" w:ascii="宋体" w:hAnsi="宋体"/>
                <w:sz w:val="21"/>
                <w:szCs w:val="21"/>
                <w:highlight w:val="none"/>
                <w:lang w:val="en-US" w:eastAsia="zh-CN"/>
              </w:rPr>
              <w:t>2</w:t>
            </w:r>
          </w:p>
        </w:tc>
        <w:tc>
          <w:tcPr>
            <w:tcW w:w="3856" w:type="dxa"/>
            <w:tcBorders>
              <w:tl2br w:val="nil"/>
              <w:tr2bl w:val="nil"/>
            </w:tcBorders>
            <w:noWrap w:val="0"/>
            <w:vAlign w:val="center"/>
          </w:tcPr>
          <w:p w14:paraId="50F37224">
            <w:pPr>
              <w:spacing w:line="360" w:lineRule="auto"/>
              <w:jc w:val="center"/>
              <w:rPr>
                <w:rFonts w:hint="default" w:ascii="宋体" w:hAnsi="宋体" w:cs="宋体"/>
                <w:color w:val="auto"/>
                <w:kern w:val="0"/>
                <w:sz w:val="21"/>
                <w:szCs w:val="21"/>
                <w:highlight w:val="none"/>
                <w:lang w:val="en-US" w:eastAsia="zh-CN" w:bidi="ar-SA"/>
              </w:rPr>
            </w:pPr>
            <w:r>
              <w:rPr>
                <w:rFonts w:hint="default" w:ascii="宋体" w:hAnsi="宋体" w:cs="宋体"/>
                <w:color w:val="auto"/>
                <w:kern w:val="0"/>
                <w:sz w:val="21"/>
                <w:szCs w:val="21"/>
                <w:highlight w:val="none"/>
                <w:lang w:val="en-US" w:eastAsia="zh-CN" w:bidi="ar-SA"/>
              </w:rPr>
              <w:t>产教合作基地</w:t>
            </w:r>
          </w:p>
        </w:tc>
        <w:tc>
          <w:tcPr>
            <w:tcW w:w="3325" w:type="dxa"/>
            <w:tcBorders>
              <w:tl2br w:val="nil"/>
              <w:tr2bl w:val="nil"/>
            </w:tcBorders>
            <w:noWrap w:val="0"/>
            <w:vAlign w:val="center"/>
          </w:tcPr>
          <w:p w14:paraId="2247914C">
            <w:pPr>
              <w:spacing w:line="360" w:lineRule="auto"/>
              <w:jc w:val="center"/>
              <w:rPr>
                <w:rFonts w:hint="default" w:ascii="宋体"/>
                <w:color w:val="auto"/>
                <w:kern w:val="2"/>
                <w:sz w:val="21"/>
                <w:szCs w:val="21"/>
                <w:highlight w:val="none"/>
                <w:lang w:val="en-US" w:eastAsia="zh-CN" w:bidi="ar-SA"/>
              </w:rPr>
            </w:pPr>
            <w:r>
              <w:rPr>
                <w:rFonts w:hint="eastAsia" w:ascii="宋体"/>
                <w:color w:val="auto"/>
                <w:kern w:val="2"/>
                <w:sz w:val="21"/>
                <w:szCs w:val="21"/>
                <w:highlight w:val="none"/>
                <w:lang w:val="en-US" w:eastAsia="zh-CN" w:bidi="ar-SA"/>
              </w:rPr>
              <w:t>温州技师学院</w:t>
            </w:r>
          </w:p>
        </w:tc>
        <w:tc>
          <w:tcPr>
            <w:tcW w:w="1174" w:type="dxa"/>
            <w:tcBorders>
              <w:tl2br w:val="nil"/>
              <w:tr2bl w:val="nil"/>
            </w:tcBorders>
            <w:noWrap w:val="0"/>
            <w:vAlign w:val="center"/>
          </w:tcPr>
          <w:p w14:paraId="3C65CBEE">
            <w:pPr>
              <w:spacing w:line="360" w:lineRule="auto"/>
              <w:jc w:val="center"/>
              <w:rPr>
                <w:rFonts w:hint="default" w:ascii="宋体"/>
                <w:color w:val="auto"/>
                <w:kern w:val="2"/>
                <w:sz w:val="21"/>
                <w:szCs w:val="21"/>
                <w:highlight w:val="none"/>
                <w:lang w:val="en-US" w:eastAsia="zh-CN" w:bidi="ar-SA"/>
              </w:rPr>
            </w:pPr>
            <w:r>
              <w:rPr>
                <w:rFonts w:hint="eastAsia" w:ascii="宋体"/>
                <w:color w:val="auto"/>
                <w:kern w:val="2"/>
                <w:sz w:val="21"/>
                <w:szCs w:val="21"/>
                <w:highlight w:val="none"/>
                <w:lang w:val="en-US" w:eastAsia="zh-CN" w:bidi="ar-SA"/>
              </w:rPr>
              <w:t>2023.11</w:t>
            </w:r>
          </w:p>
        </w:tc>
      </w:tr>
      <w:tr w14:paraId="2070941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803" w:type="dxa"/>
            <w:tcBorders>
              <w:tl2br w:val="nil"/>
              <w:tr2bl w:val="nil"/>
            </w:tcBorders>
            <w:noWrap w:val="0"/>
            <w:vAlign w:val="center"/>
          </w:tcPr>
          <w:p w14:paraId="19744AE6">
            <w:pPr>
              <w:spacing w:line="360" w:lineRule="auto"/>
              <w:jc w:val="center"/>
              <w:rPr>
                <w:rFonts w:hint="default" w:ascii="宋体" w:hAnsi="宋体"/>
                <w:kern w:val="2"/>
                <w:sz w:val="21"/>
                <w:szCs w:val="21"/>
                <w:highlight w:val="none"/>
                <w:lang w:val="en-US" w:eastAsia="zh-CN" w:bidi="ar-SA"/>
              </w:rPr>
            </w:pPr>
            <w:r>
              <w:rPr>
                <w:rFonts w:hint="eastAsia" w:ascii="宋体" w:hAnsi="宋体"/>
                <w:sz w:val="21"/>
                <w:szCs w:val="21"/>
                <w:highlight w:val="none"/>
                <w:lang w:val="en-US" w:eastAsia="zh-CN"/>
              </w:rPr>
              <w:t>3</w:t>
            </w:r>
          </w:p>
        </w:tc>
        <w:tc>
          <w:tcPr>
            <w:tcW w:w="3856" w:type="dxa"/>
            <w:tcBorders>
              <w:tl2br w:val="nil"/>
              <w:tr2bl w:val="nil"/>
            </w:tcBorders>
            <w:noWrap w:val="0"/>
            <w:vAlign w:val="center"/>
          </w:tcPr>
          <w:p w14:paraId="58ED584A">
            <w:pPr>
              <w:spacing w:line="360" w:lineRule="auto"/>
              <w:jc w:val="center"/>
              <w:rPr>
                <w:rFonts w:hint="default" w:ascii="宋体" w:hAnsi="宋体" w:cs="宋体"/>
                <w:color w:val="auto"/>
                <w:kern w:val="0"/>
                <w:sz w:val="21"/>
                <w:szCs w:val="21"/>
                <w:highlight w:val="none"/>
                <w:lang w:val="en-US" w:eastAsia="zh-CN" w:bidi="ar-SA"/>
              </w:rPr>
            </w:pPr>
            <w:r>
              <w:rPr>
                <w:rFonts w:hint="default" w:ascii="宋体" w:hAnsi="宋体" w:cs="宋体"/>
                <w:color w:val="auto"/>
                <w:kern w:val="0"/>
                <w:sz w:val="21"/>
                <w:szCs w:val="21"/>
                <w:highlight w:val="none"/>
                <w:lang w:val="en-US" w:eastAsia="zh-CN" w:bidi="ar-SA"/>
              </w:rPr>
              <w:t>龙湾区青年企业家协会</w:t>
            </w:r>
          </w:p>
        </w:tc>
        <w:tc>
          <w:tcPr>
            <w:tcW w:w="3325" w:type="dxa"/>
            <w:tcBorders>
              <w:tl2br w:val="nil"/>
              <w:tr2bl w:val="nil"/>
            </w:tcBorders>
            <w:noWrap w:val="0"/>
            <w:vAlign w:val="center"/>
          </w:tcPr>
          <w:p w14:paraId="41440CB7">
            <w:pPr>
              <w:spacing w:line="360" w:lineRule="auto"/>
              <w:jc w:val="center"/>
              <w:rPr>
                <w:rFonts w:hint="default" w:ascii="宋体" w:hAnsi="宋体" w:cs="宋体"/>
                <w:color w:val="auto"/>
                <w:kern w:val="0"/>
                <w:sz w:val="21"/>
                <w:szCs w:val="21"/>
                <w:highlight w:val="none"/>
                <w:lang w:val="en-US" w:eastAsia="zh-CN" w:bidi="ar-SA"/>
              </w:rPr>
            </w:pPr>
            <w:r>
              <w:rPr>
                <w:rFonts w:hint="eastAsia" w:ascii="宋体" w:hAnsi="宋体" w:cs="宋体"/>
                <w:color w:val="auto"/>
                <w:kern w:val="0"/>
                <w:sz w:val="21"/>
                <w:szCs w:val="21"/>
                <w:highlight w:val="none"/>
                <w:lang w:val="en-US" w:eastAsia="zh-CN" w:bidi="ar-SA"/>
              </w:rPr>
              <w:t>温州市温州湾新区经发局</w:t>
            </w:r>
          </w:p>
        </w:tc>
        <w:tc>
          <w:tcPr>
            <w:tcW w:w="1174" w:type="dxa"/>
            <w:tcBorders>
              <w:tl2br w:val="nil"/>
              <w:tr2bl w:val="nil"/>
            </w:tcBorders>
            <w:noWrap w:val="0"/>
            <w:vAlign w:val="center"/>
          </w:tcPr>
          <w:p w14:paraId="6CC7224A">
            <w:pPr>
              <w:spacing w:line="360" w:lineRule="auto"/>
              <w:jc w:val="center"/>
              <w:rPr>
                <w:rFonts w:hint="default" w:ascii="宋体"/>
                <w:color w:val="auto"/>
                <w:kern w:val="2"/>
                <w:sz w:val="21"/>
                <w:szCs w:val="21"/>
                <w:highlight w:val="none"/>
                <w:lang w:val="en-US" w:eastAsia="zh-CN" w:bidi="ar-SA"/>
              </w:rPr>
            </w:pPr>
            <w:r>
              <w:rPr>
                <w:rFonts w:hint="eastAsia" w:ascii="宋体"/>
                <w:color w:val="auto"/>
                <w:kern w:val="2"/>
                <w:sz w:val="21"/>
                <w:szCs w:val="21"/>
                <w:highlight w:val="none"/>
                <w:lang w:val="en-US" w:eastAsia="zh-CN" w:bidi="ar-SA"/>
              </w:rPr>
              <w:t>2023.05</w:t>
            </w:r>
          </w:p>
        </w:tc>
      </w:tr>
      <w:tr w14:paraId="036FE93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803" w:type="dxa"/>
            <w:tcBorders>
              <w:tl2br w:val="nil"/>
              <w:tr2bl w:val="nil"/>
            </w:tcBorders>
            <w:noWrap w:val="0"/>
            <w:vAlign w:val="center"/>
          </w:tcPr>
          <w:p w14:paraId="1BF6A2A4">
            <w:pPr>
              <w:spacing w:line="360" w:lineRule="auto"/>
              <w:jc w:val="center"/>
              <w:rPr>
                <w:rFonts w:hint="default" w:ascii="宋体" w:hAnsi="宋体"/>
                <w:sz w:val="21"/>
                <w:szCs w:val="21"/>
                <w:highlight w:val="none"/>
                <w:lang w:val="en-US" w:eastAsia="zh-CN"/>
              </w:rPr>
            </w:pPr>
            <w:r>
              <w:rPr>
                <w:rFonts w:hint="eastAsia" w:ascii="宋体" w:hAnsi="宋体"/>
                <w:sz w:val="21"/>
                <w:szCs w:val="21"/>
                <w:highlight w:val="none"/>
                <w:lang w:val="en-US" w:eastAsia="zh-CN"/>
              </w:rPr>
              <w:t>4</w:t>
            </w:r>
          </w:p>
        </w:tc>
        <w:tc>
          <w:tcPr>
            <w:tcW w:w="3856" w:type="dxa"/>
            <w:tcBorders>
              <w:tl2br w:val="nil"/>
              <w:tr2bl w:val="nil"/>
            </w:tcBorders>
            <w:noWrap w:val="0"/>
            <w:vAlign w:val="center"/>
          </w:tcPr>
          <w:p w14:paraId="689D415D">
            <w:pPr>
              <w:spacing w:line="360" w:lineRule="auto"/>
              <w:jc w:val="center"/>
              <w:rPr>
                <w:rFonts w:hint="default" w:ascii="宋体" w:hAnsi="宋体" w:cs="宋体"/>
                <w:color w:val="auto"/>
                <w:kern w:val="0"/>
                <w:sz w:val="21"/>
                <w:szCs w:val="21"/>
                <w:highlight w:val="none"/>
                <w:lang w:val="en-US" w:eastAsia="zh-CN" w:bidi="ar-SA"/>
              </w:rPr>
            </w:pPr>
            <w:r>
              <w:rPr>
                <w:rFonts w:hint="default" w:ascii="宋体" w:hAnsi="宋体" w:cs="宋体"/>
                <w:color w:val="auto"/>
                <w:kern w:val="0"/>
                <w:sz w:val="21"/>
                <w:szCs w:val="21"/>
                <w:highlight w:val="none"/>
                <w:lang w:val="en-US" w:eastAsia="zh-CN" w:bidi="ar-SA"/>
              </w:rPr>
              <w:t>浙江省专精特新中小企业</w:t>
            </w:r>
          </w:p>
        </w:tc>
        <w:tc>
          <w:tcPr>
            <w:tcW w:w="3325" w:type="dxa"/>
            <w:tcBorders>
              <w:tl2br w:val="nil"/>
              <w:tr2bl w:val="nil"/>
            </w:tcBorders>
            <w:noWrap w:val="0"/>
            <w:vAlign w:val="center"/>
          </w:tcPr>
          <w:p w14:paraId="426E6AB9">
            <w:pPr>
              <w:spacing w:line="360" w:lineRule="auto"/>
              <w:jc w:val="center"/>
              <w:rPr>
                <w:rFonts w:hint="default" w:ascii="宋体"/>
                <w:color w:val="auto"/>
                <w:kern w:val="2"/>
                <w:sz w:val="21"/>
                <w:szCs w:val="21"/>
                <w:highlight w:val="none"/>
                <w:lang w:val="en-US" w:eastAsia="zh-CN" w:bidi="ar-SA"/>
              </w:rPr>
            </w:pPr>
            <w:r>
              <w:rPr>
                <w:rFonts w:hint="eastAsia" w:ascii="宋体"/>
                <w:color w:val="auto"/>
                <w:kern w:val="2"/>
                <w:sz w:val="21"/>
                <w:szCs w:val="21"/>
                <w:highlight w:val="none"/>
                <w:lang w:val="en-US" w:eastAsia="zh-CN" w:bidi="ar-SA"/>
              </w:rPr>
              <w:t>浙江省经济和信息化厅</w:t>
            </w:r>
          </w:p>
        </w:tc>
        <w:tc>
          <w:tcPr>
            <w:tcW w:w="1174" w:type="dxa"/>
            <w:tcBorders>
              <w:tl2br w:val="nil"/>
              <w:tr2bl w:val="nil"/>
            </w:tcBorders>
            <w:noWrap w:val="0"/>
            <w:vAlign w:val="center"/>
          </w:tcPr>
          <w:p w14:paraId="6439AB95">
            <w:pPr>
              <w:spacing w:line="360" w:lineRule="auto"/>
              <w:jc w:val="center"/>
              <w:rPr>
                <w:rFonts w:hint="default" w:ascii="宋体"/>
                <w:color w:val="auto"/>
                <w:kern w:val="2"/>
                <w:sz w:val="21"/>
                <w:szCs w:val="21"/>
                <w:highlight w:val="none"/>
                <w:lang w:val="en-US" w:eastAsia="zh-CN" w:bidi="ar-SA"/>
              </w:rPr>
            </w:pPr>
            <w:r>
              <w:rPr>
                <w:rFonts w:hint="eastAsia" w:ascii="宋体"/>
                <w:color w:val="auto"/>
                <w:kern w:val="2"/>
                <w:sz w:val="21"/>
                <w:szCs w:val="21"/>
                <w:highlight w:val="none"/>
                <w:lang w:val="en-US" w:eastAsia="zh-CN" w:bidi="ar-SA"/>
              </w:rPr>
              <w:t>2022.12</w:t>
            </w:r>
          </w:p>
        </w:tc>
      </w:tr>
      <w:tr w14:paraId="1F22F0C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803" w:type="dxa"/>
            <w:tcBorders>
              <w:tl2br w:val="nil"/>
              <w:tr2bl w:val="nil"/>
            </w:tcBorders>
            <w:noWrap w:val="0"/>
            <w:vAlign w:val="center"/>
          </w:tcPr>
          <w:p w14:paraId="3705384A">
            <w:pPr>
              <w:spacing w:line="360" w:lineRule="auto"/>
              <w:jc w:val="center"/>
              <w:rPr>
                <w:rFonts w:hint="default" w:ascii="宋体" w:hAnsi="宋体"/>
                <w:sz w:val="21"/>
                <w:szCs w:val="21"/>
                <w:highlight w:val="none"/>
                <w:lang w:val="en-US" w:eastAsia="zh-CN"/>
              </w:rPr>
            </w:pPr>
            <w:r>
              <w:rPr>
                <w:rFonts w:hint="eastAsia" w:ascii="宋体" w:hAnsi="宋体"/>
                <w:sz w:val="21"/>
                <w:szCs w:val="21"/>
                <w:highlight w:val="none"/>
                <w:lang w:val="en-US" w:eastAsia="zh-CN"/>
              </w:rPr>
              <w:t>5</w:t>
            </w:r>
          </w:p>
        </w:tc>
        <w:tc>
          <w:tcPr>
            <w:tcW w:w="3856" w:type="dxa"/>
            <w:tcBorders>
              <w:tl2br w:val="nil"/>
              <w:tr2bl w:val="nil"/>
            </w:tcBorders>
            <w:noWrap w:val="0"/>
            <w:vAlign w:val="center"/>
          </w:tcPr>
          <w:p w14:paraId="6910AF86">
            <w:pPr>
              <w:spacing w:line="360" w:lineRule="auto"/>
              <w:jc w:val="center"/>
              <w:rPr>
                <w:rFonts w:hint="default" w:ascii="宋体" w:hAnsi="宋体" w:cs="宋体"/>
                <w:color w:val="auto"/>
                <w:kern w:val="0"/>
                <w:sz w:val="21"/>
                <w:szCs w:val="21"/>
                <w:highlight w:val="none"/>
                <w:lang w:val="en-US" w:eastAsia="zh-CN" w:bidi="ar-SA"/>
              </w:rPr>
            </w:pPr>
            <w:r>
              <w:rPr>
                <w:rFonts w:hint="default" w:ascii="宋体" w:hAnsi="宋体" w:cs="宋体"/>
                <w:color w:val="auto"/>
                <w:kern w:val="0"/>
                <w:sz w:val="21"/>
                <w:szCs w:val="21"/>
                <w:highlight w:val="none"/>
                <w:lang w:val="en-US" w:eastAsia="zh-CN" w:bidi="ar-SA"/>
              </w:rPr>
              <w:t>龙湾区青年企业家协会副会长单位</w:t>
            </w:r>
          </w:p>
        </w:tc>
        <w:tc>
          <w:tcPr>
            <w:tcW w:w="3325" w:type="dxa"/>
            <w:tcBorders>
              <w:tl2br w:val="nil"/>
              <w:tr2bl w:val="nil"/>
            </w:tcBorders>
            <w:noWrap w:val="0"/>
            <w:vAlign w:val="center"/>
          </w:tcPr>
          <w:p w14:paraId="23EC0395">
            <w:pPr>
              <w:spacing w:line="360" w:lineRule="auto"/>
              <w:jc w:val="center"/>
              <w:rPr>
                <w:rFonts w:hint="default" w:ascii="宋体"/>
                <w:color w:val="auto"/>
                <w:kern w:val="2"/>
                <w:sz w:val="21"/>
                <w:szCs w:val="21"/>
                <w:highlight w:val="none"/>
                <w:lang w:val="en-US" w:eastAsia="zh-CN" w:bidi="ar-SA"/>
              </w:rPr>
            </w:pPr>
            <w:r>
              <w:rPr>
                <w:rFonts w:hint="default" w:ascii="宋体" w:hAnsi="宋体" w:cs="宋体"/>
                <w:color w:val="auto"/>
                <w:kern w:val="0"/>
                <w:sz w:val="21"/>
                <w:szCs w:val="21"/>
                <w:highlight w:val="none"/>
                <w:lang w:val="en-US" w:eastAsia="zh-CN" w:bidi="ar-SA"/>
              </w:rPr>
              <w:t>龙湾区青年企业家协会</w:t>
            </w:r>
          </w:p>
        </w:tc>
        <w:tc>
          <w:tcPr>
            <w:tcW w:w="1174" w:type="dxa"/>
            <w:tcBorders>
              <w:tl2br w:val="nil"/>
              <w:tr2bl w:val="nil"/>
            </w:tcBorders>
            <w:noWrap w:val="0"/>
            <w:vAlign w:val="center"/>
          </w:tcPr>
          <w:p w14:paraId="6F6E8A10">
            <w:pPr>
              <w:spacing w:line="360" w:lineRule="auto"/>
              <w:jc w:val="center"/>
              <w:rPr>
                <w:rFonts w:hint="default" w:ascii="宋体"/>
                <w:color w:val="auto"/>
                <w:kern w:val="2"/>
                <w:sz w:val="21"/>
                <w:szCs w:val="21"/>
                <w:highlight w:val="none"/>
                <w:lang w:val="en-US" w:eastAsia="zh-CN" w:bidi="ar-SA"/>
              </w:rPr>
            </w:pPr>
            <w:r>
              <w:rPr>
                <w:rFonts w:hint="eastAsia" w:ascii="宋体"/>
                <w:color w:val="auto"/>
                <w:kern w:val="2"/>
                <w:sz w:val="21"/>
                <w:szCs w:val="21"/>
                <w:highlight w:val="none"/>
                <w:lang w:val="en-US" w:eastAsia="zh-CN" w:bidi="ar-SA"/>
              </w:rPr>
              <w:t>2023.02</w:t>
            </w:r>
          </w:p>
        </w:tc>
      </w:tr>
      <w:tr w14:paraId="2BDC193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803" w:type="dxa"/>
            <w:tcBorders>
              <w:tl2br w:val="nil"/>
              <w:tr2bl w:val="nil"/>
            </w:tcBorders>
            <w:noWrap w:val="0"/>
            <w:vAlign w:val="center"/>
          </w:tcPr>
          <w:p w14:paraId="07CCB967">
            <w:pPr>
              <w:spacing w:line="360" w:lineRule="auto"/>
              <w:jc w:val="center"/>
              <w:rPr>
                <w:rFonts w:hint="default" w:ascii="宋体" w:hAnsi="宋体"/>
                <w:sz w:val="21"/>
                <w:szCs w:val="21"/>
                <w:highlight w:val="none"/>
                <w:lang w:val="en-US" w:eastAsia="zh-CN"/>
              </w:rPr>
            </w:pPr>
            <w:r>
              <w:rPr>
                <w:rFonts w:hint="eastAsia" w:ascii="宋体" w:hAnsi="宋体"/>
                <w:sz w:val="21"/>
                <w:szCs w:val="21"/>
                <w:highlight w:val="none"/>
                <w:lang w:val="en-US" w:eastAsia="zh-CN"/>
              </w:rPr>
              <w:t>6</w:t>
            </w:r>
          </w:p>
        </w:tc>
        <w:tc>
          <w:tcPr>
            <w:tcW w:w="3856" w:type="dxa"/>
            <w:tcBorders>
              <w:tl2br w:val="nil"/>
              <w:tr2bl w:val="nil"/>
            </w:tcBorders>
            <w:noWrap w:val="0"/>
            <w:vAlign w:val="center"/>
          </w:tcPr>
          <w:p w14:paraId="49060F90">
            <w:pPr>
              <w:spacing w:line="360" w:lineRule="auto"/>
              <w:jc w:val="center"/>
              <w:rPr>
                <w:rFonts w:hint="default" w:ascii="宋体" w:hAnsi="宋体" w:cs="宋体"/>
                <w:color w:val="auto"/>
                <w:kern w:val="0"/>
                <w:sz w:val="21"/>
                <w:szCs w:val="21"/>
                <w:highlight w:val="none"/>
                <w:lang w:val="en-US" w:eastAsia="zh-CN" w:bidi="ar-SA"/>
              </w:rPr>
            </w:pPr>
            <w:r>
              <w:rPr>
                <w:rFonts w:hint="default" w:ascii="宋体" w:hAnsi="宋体" w:cs="宋体"/>
                <w:color w:val="auto"/>
                <w:kern w:val="0"/>
                <w:sz w:val="21"/>
                <w:szCs w:val="21"/>
                <w:highlight w:val="none"/>
                <w:lang w:val="en-US" w:eastAsia="zh-CN" w:bidi="ar-SA"/>
              </w:rPr>
              <w:t>浙江省守合同重信用企业</w:t>
            </w:r>
          </w:p>
        </w:tc>
        <w:tc>
          <w:tcPr>
            <w:tcW w:w="3325" w:type="dxa"/>
            <w:tcBorders>
              <w:tl2br w:val="nil"/>
              <w:tr2bl w:val="nil"/>
            </w:tcBorders>
            <w:noWrap w:val="0"/>
            <w:vAlign w:val="center"/>
          </w:tcPr>
          <w:p w14:paraId="54E49CEA">
            <w:pPr>
              <w:spacing w:line="360" w:lineRule="auto"/>
              <w:jc w:val="center"/>
              <w:rPr>
                <w:rFonts w:hint="default" w:ascii="宋体" w:hAnsi="宋体" w:cs="宋体"/>
                <w:color w:val="auto"/>
                <w:kern w:val="0"/>
                <w:sz w:val="21"/>
                <w:szCs w:val="21"/>
                <w:highlight w:val="none"/>
                <w:lang w:val="en-US" w:eastAsia="zh-CN" w:bidi="ar-SA"/>
              </w:rPr>
            </w:pPr>
            <w:r>
              <w:rPr>
                <w:rFonts w:hint="eastAsia" w:ascii="宋体" w:hAnsi="宋体" w:cs="宋体"/>
                <w:color w:val="auto"/>
                <w:kern w:val="0"/>
                <w:sz w:val="21"/>
                <w:szCs w:val="21"/>
                <w:highlight w:val="none"/>
                <w:lang w:val="en-US" w:eastAsia="zh-CN" w:bidi="ar-SA"/>
              </w:rPr>
              <w:t>温州市市场监督管理局</w:t>
            </w:r>
          </w:p>
        </w:tc>
        <w:tc>
          <w:tcPr>
            <w:tcW w:w="1174" w:type="dxa"/>
            <w:tcBorders>
              <w:tl2br w:val="nil"/>
              <w:tr2bl w:val="nil"/>
            </w:tcBorders>
            <w:noWrap w:val="0"/>
            <w:vAlign w:val="center"/>
          </w:tcPr>
          <w:p w14:paraId="5622B09D">
            <w:pPr>
              <w:spacing w:line="360" w:lineRule="auto"/>
              <w:jc w:val="center"/>
              <w:rPr>
                <w:rFonts w:hint="default" w:ascii="宋体"/>
                <w:color w:val="auto"/>
                <w:kern w:val="2"/>
                <w:sz w:val="21"/>
                <w:szCs w:val="21"/>
                <w:highlight w:val="none"/>
                <w:lang w:val="en-US" w:eastAsia="zh-CN" w:bidi="ar-SA"/>
              </w:rPr>
            </w:pPr>
            <w:r>
              <w:rPr>
                <w:rFonts w:hint="eastAsia" w:ascii="宋体"/>
                <w:color w:val="auto"/>
                <w:kern w:val="2"/>
                <w:sz w:val="21"/>
                <w:szCs w:val="21"/>
                <w:highlight w:val="none"/>
                <w:lang w:val="en-US" w:eastAsia="zh-CN" w:bidi="ar-SA"/>
              </w:rPr>
              <w:t>2022.09</w:t>
            </w:r>
          </w:p>
        </w:tc>
      </w:tr>
      <w:tr w14:paraId="6F5D084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803" w:type="dxa"/>
            <w:tcBorders>
              <w:tl2br w:val="nil"/>
              <w:tr2bl w:val="nil"/>
            </w:tcBorders>
            <w:noWrap w:val="0"/>
            <w:vAlign w:val="center"/>
          </w:tcPr>
          <w:p w14:paraId="62E7691A">
            <w:pPr>
              <w:spacing w:line="360" w:lineRule="auto"/>
              <w:jc w:val="center"/>
              <w:rPr>
                <w:rFonts w:hint="default" w:ascii="宋体" w:hAnsi="宋体"/>
                <w:sz w:val="21"/>
                <w:szCs w:val="21"/>
                <w:highlight w:val="none"/>
                <w:lang w:val="en-US" w:eastAsia="zh-CN"/>
              </w:rPr>
            </w:pPr>
            <w:r>
              <w:rPr>
                <w:rFonts w:hint="eastAsia" w:ascii="宋体" w:hAnsi="宋体"/>
                <w:sz w:val="21"/>
                <w:szCs w:val="21"/>
                <w:highlight w:val="none"/>
                <w:lang w:val="en-US" w:eastAsia="zh-CN"/>
              </w:rPr>
              <w:t>7</w:t>
            </w:r>
          </w:p>
        </w:tc>
        <w:tc>
          <w:tcPr>
            <w:tcW w:w="3856" w:type="dxa"/>
            <w:tcBorders>
              <w:tl2br w:val="nil"/>
              <w:tr2bl w:val="nil"/>
            </w:tcBorders>
            <w:noWrap w:val="0"/>
            <w:vAlign w:val="center"/>
          </w:tcPr>
          <w:p w14:paraId="2967F023">
            <w:pPr>
              <w:spacing w:line="360" w:lineRule="auto"/>
              <w:jc w:val="center"/>
              <w:rPr>
                <w:rFonts w:hint="default" w:ascii="宋体"/>
                <w:color w:val="auto"/>
                <w:kern w:val="2"/>
                <w:sz w:val="21"/>
                <w:szCs w:val="21"/>
                <w:highlight w:val="none"/>
                <w:lang w:val="en-US" w:eastAsia="zh-CN" w:bidi="ar-SA"/>
              </w:rPr>
            </w:pPr>
            <w:r>
              <w:rPr>
                <w:rFonts w:hint="default" w:ascii="宋体"/>
                <w:color w:val="auto"/>
                <w:kern w:val="2"/>
                <w:sz w:val="21"/>
                <w:szCs w:val="21"/>
                <w:highlight w:val="none"/>
                <w:lang w:val="en-US" w:eastAsia="zh-CN" w:bidi="ar-SA"/>
              </w:rPr>
              <w:t>浙江省高成长科技型中小企业</w:t>
            </w:r>
          </w:p>
        </w:tc>
        <w:tc>
          <w:tcPr>
            <w:tcW w:w="3325" w:type="dxa"/>
            <w:tcBorders>
              <w:tl2br w:val="nil"/>
              <w:tr2bl w:val="nil"/>
            </w:tcBorders>
            <w:noWrap w:val="0"/>
            <w:vAlign w:val="center"/>
          </w:tcPr>
          <w:p w14:paraId="267D6475">
            <w:pPr>
              <w:spacing w:line="360" w:lineRule="auto"/>
              <w:jc w:val="center"/>
              <w:rPr>
                <w:rFonts w:hint="default" w:ascii="宋体" w:eastAsia="宋体"/>
                <w:color w:val="auto"/>
                <w:kern w:val="2"/>
                <w:sz w:val="21"/>
                <w:szCs w:val="21"/>
                <w:highlight w:val="none"/>
                <w:lang w:val="en-US" w:eastAsia="zh-CN" w:bidi="ar-SA"/>
              </w:rPr>
            </w:pPr>
            <w:r>
              <w:rPr>
                <w:rFonts w:hint="eastAsia" w:ascii="宋体"/>
                <w:color w:val="auto"/>
                <w:kern w:val="2"/>
                <w:sz w:val="21"/>
                <w:szCs w:val="21"/>
                <w:highlight w:val="none"/>
                <w:lang w:val="en-US" w:eastAsia="zh-CN" w:bidi="ar-SA"/>
              </w:rPr>
              <w:t>浙江省科学技术厅</w:t>
            </w:r>
          </w:p>
        </w:tc>
        <w:tc>
          <w:tcPr>
            <w:tcW w:w="1174" w:type="dxa"/>
            <w:tcBorders>
              <w:tl2br w:val="nil"/>
              <w:tr2bl w:val="nil"/>
            </w:tcBorders>
            <w:noWrap w:val="0"/>
            <w:vAlign w:val="center"/>
          </w:tcPr>
          <w:p w14:paraId="778A11A1">
            <w:pPr>
              <w:spacing w:line="360" w:lineRule="auto"/>
              <w:jc w:val="center"/>
              <w:rPr>
                <w:rFonts w:hint="default" w:ascii="宋体"/>
                <w:color w:val="auto"/>
                <w:kern w:val="2"/>
                <w:sz w:val="21"/>
                <w:szCs w:val="21"/>
                <w:highlight w:val="none"/>
                <w:lang w:val="en-US" w:eastAsia="zh-CN" w:bidi="ar-SA"/>
              </w:rPr>
            </w:pPr>
            <w:r>
              <w:rPr>
                <w:rFonts w:hint="eastAsia" w:ascii="宋体"/>
                <w:color w:val="auto"/>
                <w:kern w:val="2"/>
                <w:sz w:val="21"/>
                <w:szCs w:val="21"/>
                <w:highlight w:val="none"/>
                <w:lang w:val="en-US" w:eastAsia="zh-CN" w:bidi="ar-SA"/>
              </w:rPr>
              <w:t>2018.08</w:t>
            </w:r>
          </w:p>
        </w:tc>
      </w:tr>
      <w:tr w14:paraId="3B51F7E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803" w:type="dxa"/>
            <w:tcBorders>
              <w:tl2br w:val="nil"/>
              <w:tr2bl w:val="nil"/>
            </w:tcBorders>
            <w:noWrap w:val="0"/>
            <w:vAlign w:val="center"/>
          </w:tcPr>
          <w:p w14:paraId="2C94D043">
            <w:pPr>
              <w:spacing w:line="360" w:lineRule="auto"/>
              <w:jc w:val="center"/>
              <w:rPr>
                <w:rFonts w:hint="default" w:ascii="宋体" w:hAnsi="宋体"/>
                <w:sz w:val="21"/>
                <w:szCs w:val="21"/>
                <w:highlight w:val="none"/>
                <w:lang w:val="en-US" w:eastAsia="zh-CN"/>
              </w:rPr>
            </w:pPr>
            <w:r>
              <w:rPr>
                <w:rFonts w:hint="eastAsia" w:ascii="宋体" w:hAnsi="宋体"/>
                <w:sz w:val="21"/>
                <w:szCs w:val="21"/>
                <w:highlight w:val="none"/>
                <w:lang w:val="en-US" w:eastAsia="zh-CN"/>
              </w:rPr>
              <w:t>8</w:t>
            </w:r>
          </w:p>
        </w:tc>
        <w:tc>
          <w:tcPr>
            <w:tcW w:w="3856" w:type="dxa"/>
            <w:tcBorders>
              <w:tl2br w:val="nil"/>
              <w:tr2bl w:val="nil"/>
            </w:tcBorders>
            <w:noWrap w:val="0"/>
            <w:vAlign w:val="center"/>
          </w:tcPr>
          <w:p w14:paraId="3EE214C2">
            <w:pPr>
              <w:spacing w:line="360" w:lineRule="auto"/>
              <w:jc w:val="center"/>
              <w:rPr>
                <w:rFonts w:hint="default" w:ascii="宋体" w:hAnsi="宋体" w:cs="宋体"/>
                <w:color w:val="auto"/>
                <w:kern w:val="0"/>
                <w:sz w:val="21"/>
                <w:szCs w:val="21"/>
                <w:highlight w:val="none"/>
                <w:lang w:val="en-US" w:eastAsia="zh-CN" w:bidi="ar-SA"/>
              </w:rPr>
            </w:pPr>
            <w:r>
              <w:rPr>
                <w:rFonts w:hint="default" w:ascii="宋体" w:hAnsi="宋体" w:cs="宋体"/>
                <w:color w:val="auto"/>
                <w:kern w:val="0"/>
                <w:sz w:val="21"/>
                <w:szCs w:val="21"/>
                <w:highlight w:val="none"/>
                <w:lang w:val="en-US" w:eastAsia="zh-CN" w:bidi="ar-SA"/>
              </w:rPr>
              <w:t>浙江省科技型中小企业</w:t>
            </w:r>
          </w:p>
        </w:tc>
        <w:tc>
          <w:tcPr>
            <w:tcW w:w="3325" w:type="dxa"/>
            <w:tcBorders>
              <w:tl2br w:val="nil"/>
              <w:tr2bl w:val="nil"/>
            </w:tcBorders>
            <w:noWrap w:val="0"/>
            <w:vAlign w:val="center"/>
          </w:tcPr>
          <w:p w14:paraId="484ABCB4">
            <w:pPr>
              <w:spacing w:line="360" w:lineRule="auto"/>
              <w:jc w:val="center"/>
              <w:rPr>
                <w:rFonts w:hint="eastAsia" w:ascii="宋体"/>
                <w:color w:val="auto"/>
                <w:kern w:val="2"/>
                <w:sz w:val="21"/>
                <w:szCs w:val="21"/>
                <w:highlight w:val="none"/>
                <w:lang w:val="en-US" w:eastAsia="zh-CN" w:bidi="ar-SA"/>
              </w:rPr>
            </w:pPr>
            <w:r>
              <w:rPr>
                <w:rFonts w:hint="eastAsia" w:ascii="宋体"/>
                <w:color w:val="auto"/>
                <w:kern w:val="2"/>
                <w:sz w:val="21"/>
                <w:szCs w:val="21"/>
                <w:highlight w:val="none"/>
                <w:lang w:val="en-US" w:eastAsia="zh-CN" w:bidi="ar-SA"/>
              </w:rPr>
              <w:t>浙江省科学技术厅</w:t>
            </w:r>
          </w:p>
        </w:tc>
        <w:tc>
          <w:tcPr>
            <w:tcW w:w="1174" w:type="dxa"/>
            <w:tcBorders>
              <w:tl2br w:val="nil"/>
              <w:tr2bl w:val="nil"/>
            </w:tcBorders>
            <w:noWrap w:val="0"/>
            <w:vAlign w:val="center"/>
          </w:tcPr>
          <w:p w14:paraId="218DA57A">
            <w:pPr>
              <w:spacing w:line="360" w:lineRule="auto"/>
              <w:jc w:val="center"/>
              <w:rPr>
                <w:rFonts w:hint="default" w:ascii="宋体"/>
                <w:color w:val="auto"/>
                <w:kern w:val="2"/>
                <w:sz w:val="21"/>
                <w:szCs w:val="21"/>
                <w:highlight w:val="none"/>
                <w:lang w:val="en-US" w:eastAsia="zh-CN" w:bidi="ar-SA"/>
              </w:rPr>
            </w:pPr>
            <w:r>
              <w:rPr>
                <w:rFonts w:hint="eastAsia" w:ascii="宋体"/>
                <w:color w:val="auto"/>
                <w:kern w:val="2"/>
                <w:sz w:val="21"/>
                <w:szCs w:val="21"/>
                <w:highlight w:val="none"/>
                <w:lang w:val="en-US" w:eastAsia="zh-CN" w:bidi="ar-SA"/>
              </w:rPr>
              <w:t>2014.12</w:t>
            </w:r>
          </w:p>
        </w:tc>
      </w:tr>
    </w:tbl>
    <w:p w14:paraId="0421A6EE">
      <w:pPr>
        <w:pStyle w:val="3"/>
      </w:pPr>
      <w:r>
        <w:rPr>
          <w:rFonts w:hint="eastAsia"/>
        </w:rPr>
        <w:t>十四、发展战略</w:t>
      </w:r>
      <w:bookmarkEnd w:id="26"/>
    </w:p>
    <w:p w14:paraId="32647FC3">
      <w:pPr>
        <w:numPr>
          <w:ilvl w:val="0"/>
          <w:numId w:val="4"/>
        </w:numPr>
        <w:spacing w:line="360" w:lineRule="auto"/>
        <w:rPr>
          <w:rFonts w:hint="eastAsia"/>
          <w:sz w:val="24"/>
          <w:szCs w:val="24"/>
        </w:rPr>
      </w:pPr>
      <w:r>
        <w:rPr>
          <w:rFonts w:hint="eastAsia"/>
          <w:b/>
          <w:bCs/>
          <w:sz w:val="24"/>
          <w:szCs w:val="24"/>
        </w:rPr>
        <w:t>战略定位</w:t>
      </w:r>
      <w:r>
        <w:rPr>
          <w:rFonts w:hint="eastAsia" w:ascii="宋体" w:hAnsi="宋体"/>
          <w:b/>
          <w:color w:val="000000"/>
          <w:sz w:val="24"/>
        </w:rPr>
        <w:t>及发展方向</w:t>
      </w:r>
    </w:p>
    <w:p w14:paraId="500FAA6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color w:val="000000"/>
          <w:sz w:val="24"/>
        </w:rPr>
      </w:pPr>
      <w:r>
        <w:rPr>
          <w:rFonts w:hint="eastAsia" w:ascii="宋体" w:hAnsi="宋体" w:eastAsia="宋体" w:cs="Times New Roman"/>
          <w:color w:val="000000"/>
          <w:sz w:val="24"/>
        </w:rPr>
        <w:t>特宏阀门作为国家高新技术企业、浙江省阀门行业龙头，需在技术、市场、管理等多维度制定战略，巩固行业地位并实现全球化突破。基于企业现有优势及行业趋势，战略规划如下：</w:t>
      </w:r>
    </w:p>
    <w:p w14:paraId="1FC8663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Times New Roman"/>
          <w:color w:val="000000"/>
          <w:sz w:val="24"/>
        </w:rPr>
      </w:pPr>
      <w:r>
        <w:rPr>
          <w:rFonts w:hint="eastAsia" w:ascii="宋体" w:hAnsi="宋体" w:eastAsia="宋体" w:cs="Times New Roman"/>
          <w:color w:val="000000"/>
          <w:sz w:val="24"/>
        </w:rPr>
        <w:t>一、技术驱动：深化智能化与高端化研发</w:t>
      </w:r>
    </w:p>
    <w:p w14:paraId="3CB4357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color w:val="000000"/>
          <w:sz w:val="24"/>
        </w:rPr>
      </w:pPr>
      <w:r>
        <w:rPr>
          <w:rFonts w:hint="eastAsia" w:ascii="宋体" w:hAnsi="宋体" w:eastAsia="宋体" w:cs="Times New Roman"/>
          <w:color w:val="000000"/>
          <w:sz w:val="24"/>
        </w:rPr>
        <w:t>智能化阀门升级：持续优化“智能可调节V型球阀”等爆款产品，结合AI算法开发自适应调节功能，提升故障预判能力（如通过传感器实时监测流体压力、温度）。</w:t>
      </w:r>
    </w:p>
    <w:p w14:paraId="0B7B1D6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color w:val="000000"/>
          <w:sz w:val="24"/>
        </w:rPr>
      </w:pPr>
      <w:r>
        <w:rPr>
          <w:rFonts w:hint="eastAsia" w:ascii="宋体" w:hAnsi="宋体" w:eastAsia="宋体" w:cs="Times New Roman"/>
          <w:color w:val="000000"/>
          <w:sz w:val="24"/>
        </w:rPr>
        <w:t>高端密封技术突破：依托“</w:t>
      </w:r>
      <w:r>
        <w:rPr>
          <w:rFonts w:hint="eastAsia" w:ascii="宋体" w:hAnsi="宋体" w:eastAsia="宋体" w:cs="Times New Roman"/>
          <w:color w:val="000000"/>
          <w:sz w:val="24"/>
          <w:lang w:eastAsia="zh-CN"/>
        </w:rPr>
        <w:t>智控型快速减压球阀</w:t>
      </w:r>
      <w:r>
        <w:rPr>
          <w:rFonts w:hint="eastAsia" w:ascii="宋体" w:hAnsi="宋体" w:eastAsia="宋体" w:cs="Times New Roman"/>
          <w:color w:val="000000"/>
          <w:sz w:val="24"/>
        </w:rPr>
        <w:t>”专利（</w:t>
      </w:r>
      <w:r>
        <w:rPr>
          <w:rFonts w:hint="eastAsia" w:ascii="宋体" w:hAnsi="宋体" w:eastAsia="宋体" w:cs="Times New Roman"/>
          <w:color w:val="000000"/>
          <w:sz w:val="24"/>
          <w:lang w:eastAsia="zh-CN"/>
        </w:rPr>
        <w:t>CN119435753A</w:t>
      </w:r>
      <w:r>
        <w:rPr>
          <w:rFonts w:hint="eastAsia" w:ascii="宋体" w:hAnsi="宋体" w:eastAsia="宋体" w:cs="Times New Roman"/>
          <w:color w:val="000000"/>
          <w:sz w:val="24"/>
        </w:rPr>
        <w:t>），开发零泄漏系列产品，拓展至核电、深海等极端工况领域，替代进口高端阀门。</w:t>
      </w:r>
    </w:p>
    <w:p w14:paraId="56E0586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color w:val="000000"/>
          <w:sz w:val="24"/>
        </w:rPr>
      </w:pPr>
      <w:r>
        <w:rPr>
          <w:rFonts w:hint="eastAsia" w:ascii="宋体" w:hAnsi="宋体" w:eastAsia="宋体" w:cs="Times New Roman"/>
          <w:color w:val="000000"/>
          <w:sz w:val="24"/>
        </w:rPr>
        <w:t>新材料与绿色技术：研发耐超低温（-196℃）及耐腐蚀合金材料，开发低碳阀门（如降低碳足迹40%的不锈钢阀门），响应“双碳”政策需求。</w:t>
      </w:r>
    </w:p>
    <w:p w14:paraId="6B625D3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color w:val="000000"/>
          <w:sz w:val="24"/>
          <w:lang w:eastAsia="zh-CN"/>
        </w:rPr>
      </w:pPr>
      <w:r>
        <w:rPr>
          <w:rFonts w:hint="eastAsia" w:ascii="宋体" w:hAnsi="宋体" w:eastAsia="宋体" w:cs="Times New Roman"/>
          <w:color w:val="000000"/>
          <w:sz w:val="24"/>
        </w:rPr>
        <w:t>深化与高校、科研机构的合作，共建“智能阀门联合实验室”，推动“车间驾驶舱”系统落地，集成阀门控制与生产线数据，提供定制化解决方案</w:t>
      </w:r>
      <w:r>
        <w:rPr>
          <w:rFonts w:hint="eastAsia" w:ascii="宋体" w:hAnsi="宋体" w:eastAsia="宋体" w:cs="Times New Roman"/>
          <w:color w:val="000000"/>
          <w:sz w:val="24"/>
          <w:lang w:eastAsia="zh-CN"/>
        </w:rPr>
        <w:t>。</w:t>
      </w:r>
    </w:p>
    <w:p w14:paraId="3A55EEF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Times New Roman"/>
          <w:color w:val="000000"/>
          <w:sz w:val="24"/>
          <w:lang w:eastAsia="zh-CN"/>
        </w:rPr>
      </w:pPr>
      <w:r>
        <w:rPr>
          <w:rFonts w:hint="eastAsia" w:ascii="宋体" w:hAnsi="宋体" w:eastAsia="宋体" w:cs="Times New Roman"/>
          <w:color w:val="000000"/>
          <w:sz w:val="24"/>
          <w:lang w:eastAsia="zh-CN"/>
        </w:rPr>
        <w:t>二、市场拓展：全球化布局与细分领域深耕</w:t>
      </w:r>
    </w:p>
    <w:p w14:paraId="2ACB2C7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color w:val="000000"/>
          <w:sz w:val="24"/>
          <w:lang w:eastAsia="zh-CN"/>
        </w:rPr>
      </w:pPr>
      <w:r>
        <w:rPr>
          <w:rFonts w:hint="eastAsia" w:ascii="宋体" w:hAnsi="宋体" w:eastAsia="宋体" w:cs="Times New Roman"/>
          <w:color w:val="000000"/>
          <w:sz w:val="24"/>
          <w:lang w:eastAsia="zh-CN"/>
        </w:rPr>
        <w:t>高端市场突破：针对欧美市场，主推核电、LNG船用阀门等高端产品，通过ASME、API防火认证提升品牌溢价能力。</w:t>
      </w:r>
    </w:p>
    <w:p w14:paraId="41D2BA6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color w:val="000000"/>
          <w:sz w:val="24"/>
          <w:lang w:eastAsia="zh-CN"/>
        </w:rPr>
      </w:pPr>
      <w:r>
        <w:rPr>
          <w:rFonts w:hint="eastAsia" w:ascii="宋体" w:hAnsi="宋体" w:eastAsia="宋体" w:cs="Times New Roman"/>
          <w:color w:val="000000"/>
          <w:sz w:val="24"/>
          <w:lang w:eastAsia="zh-CN"/>
        </w:rPr>
        <w:t>新兴市场开发：在东南亚、中东设立分销中心，提供本地化售后服务，抢占油气管道、水处理项目需求。</w:t>
      </w:r>
    </w:p>
    <w:p w14:paraId="02B6091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color w:val="000000"/>
          <w:sz w:val="24"/>
          <w:lang w:eastAsia="zh-CN"/>
        </w:rPr>
      </w:pPr>
      <w:r>
        <w:rPr>
          <w:rFonts w:hint="eastAsia" w:ascii="宋体" w:hAnsi="宋体" w:eastAsia="宋体" w:cs="Times New Roman"/>
          <w:color w:val="000000"/>
          <w:sz w:val="24"/>
          <w:lang w:eastAsia="zh-CN"/>
        </w:rPr>
        <w:t>新能源赛道：开发氢能储运阀门、储能系统调节阀，对接光伏、风电装机增长需求6。</w:t>
      </w:r>
    </w:p>
    <w:p w14:paraId="4C2786D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color w:val="000000"/>
          <w:sz w:val="24"/>
          <w:lang w:eastAsia="zh-CN"/>
        </w:rPr>
      </w:pPr>
      <w:r>
        <w:rPr>
          <w:rFonts w:hint="eastAsia" w:ascii="宋体" w:hAnsi="宋体" w:eastAsia="宋体" w:cs="Times New Roman"/>
          <w:color w:val="000000"/>
          <w:sz w:val="24"/>
          <w:lang w:eastAsia="zh-CN"/>
        </w:rPr>
        <w:t>智慧城市配套：推出智能水务阀门（如远程控制、泄漏报警功能），参与市政管网改造项目。</w:t>
      </w:r>
    </w:p>
    <w:p w14:paraId="7CAB28E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Times New Roman"/>
          <w:color w:val="000000"/>
          <w:sz w:val="24"/>
          <w:lang w:eastAsia="zh-CN"/>
        </w:rPr>
      </w:pPr>
      <w:r>
        <w:rPr>
          <w:rFonts w:hint="eastAsia" w:ascii="宋体" w:hAnsi="宋体" w:eastAsia="宋体" w:cs="Times New Roman"/>
          <w:color w:val="000000"/>
          <w:sz w:val="24"/>
          <w:lang w:eastAsia="zh-CN"/>
        </w:rPr>
        <w:t>三、生产与质量管理：全流程数字化升级</w:t>
      </w:r>
    </w:p>
    <w:p w14:paraId="2ECFADD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color w:val="000000"/>
          <w:sz w:val="24"/>
          <w:lang w:eastAsia="zh-CN"/>
        </w:rPr>
      </w:pPr>
      <w:r>
        <w:rPr>
          <w:rFonts w:hint="eastAsia" w:ascii="宋体" w:hAnsi="宋体" w:eastAsia="宋体" w:cs="Times New Roman"/>
          <w:color w:val="000000"/>
          <w:sz w:val="24"/>
          <w:lang w:eastAsia="zh-CN"/>
        </w:rPr>
        <w:t>投资1亿元建设“黑灯工厂”，实现铸造、加工、检测全流程自动化，降低人工成本30%。引入AI质检系统，通过视觉识别技术检测密封面瑕疵，将产品不良率控制在0.05%以下。严格执行“浙江制造”标准（如</w:t>
      </w:r>
      <w:r>
        <w:rPr>
          <w:rFonts w:hint="eastAsia" w:ascii="宋体" w:hAnsi="宋体" w:cs="Times New Roman"/>
          <w:color w:val="000000"/>
          <w:sz w:val="24"/>
          <w:lang w:val="en-US" w:eastAsia="zh-CN"/>
        </w:rPr>
        <w:t xml:space="preserve">T/ZZB </w:t>
      </w:r>
      <w:r>
        <w:rPr>
          <w:rFonts w:hint="eastAsia" w:ascii="宋体" w:hAnsi="宋体" w:eastAsia="宋体" w:cs="Times New Roman"/>
          <w:color w:val="000000"/>
          <w:sz w:val="24"/>
          <w:lang w:eastAsia="zh-CN"/>
        </w:rPr>
        <w:t>1023—2019），对标国际认证（如欧盟CE、美国API），建立全生命周期追溯系统。自建铸造厂，从原材料到成品全流程管控，确保关键部件100%自主生产。</w:t>
      </w:r>
    </w:p>
    <w:p w14:paraId="3BBD5DE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Times New Roman"/>
          <w:color w:val="000000"/>
          <w:sz w:val="24"/>
          <w:lang w:eastAsia="zh-CN"/>
        </w:rPr>
      </w:pPr>
      <w:r>
        <w:rPr>
          <w:rFonts w:hint="eastAsia" w:ascii="宋体" w:hAnsi="宋体" w:eastAsia="宋体" w:cs="Times New Roman"/>
          <w:color w:val="000000"/>
          <w:sz w:val="24"/>
          <w:lang w:eastAsia="zh-CN"/>
        </w:rPr>
        <w:t>四、品牌与生态：构建行业影响力</w:t>
      </w:r>
    </w:p>
    <w:p w14:paraId="370B0A9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color w:val="000000"/>
          <w:sz w:val="24"/>
          <w:lang w:eastAsia="zh-CN"/>
        </w:rPr>
      </w:pPr>
      <w:r>
        <w:rPr>
          <w:rFonts w:hint="eastAsia" w:ascii="宋体" w:hAnsi="宋体" w:eastAsia="宋体" w:cs="Times New Roman"/>
          <w:color w:val="000000"/>
          <w:sz w:val="24"/>
          <w:lang w:eastAsia="zh-CN"/>
        </w:rPr>
        <w:t>参与国际展会（如德国ACHEMA、美国OTC），发布《阀门智能化白皮书》，塑造“中国智造”标杆形象。通过案例营销强化口碑，如“高温导热阀门”解决化工行业卡死难题，形成行业标准解决方案。与中石油、国家电网等央企建立战略合作，参与“一带一路”能源基建项目，绑定长期订单。孵化上下游配套企业（如精密铸造、执行器厂商），形成产业集群效应，降低供应链风险。</w:t>
      </w:r>
    </w:p>
    <w:p w14:paraId="75FFB8C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Times New Roman"/>
          <w:color w:val="000000"/>
          <w:sz w:val="24"/>
          <w:lang w:eastAsia="zh-CN"/>
        </w:rPr>
      </w:pPr>
      <w:r>
        <w:rPr>
          <w:rFonts w:hint="eastAsia" w:ascii="宋体" w:hAnsi="宋体" w:eastAsia="宋体" w:cs="Times New Roman"/>
          <w:color w:val="000000"/>
          <w:sz w:val="24"/>
          <w:lang w:eastAsia="zh-CN"/>
        </w:rPr>
        <w:t>五、组织与人才：激发创新活力</w:t>
      </w:r>
    </w:p>
    <w:p w14:paraId="242C9D8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color w:val="000000"/>
          <w:sz w:val="24"/>
          <w:lang w:eastAsia="zh-CN"/>
        </w:rPr>
      </w:pPr>
      <w:r>
        <w:rPr>
          <w:rFonts w:hint="eastAsia" w:ascii="宋体" w:hAnsi="宋体" w:eastAsia="宋体" w:cs="Times New Roman"/>
          <w:color w:val="000000"/>
          <w:sz w:val="24"/>
          <w:lang w:eastAsia="zh-CN"/>
        </w:rPr>
        <w:t>设立“智能化研究院”，引进AI算法、工业互联网领域专家，研发团队占比提升至30%。推行“技术合伙人”制度，核心研发人员持股，专利成果与收益直接挂钩。与德国TÜV、美国ASME合作开展认证工程师培训，打造具备国际视野的技术团队。</w:t>
      </w:r>
    </w:p>
    <w:p w14:paraId="3398EBE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Times New Roman"/>
          <w:color w:val="000000"/>
          <w:sz w:val="24"/>
          <w:lang w:eastAsia="zh-CN"/>
        </w:rPr>
      </w:pPr>
      <w:r>
        <w:rPr>
          <w:rFonts w:hint="eastAsia" w:ascii="宋体" w:hAnsi="宋体" w:eastAsia="宋体" w:cs="Times New Roman"/>
          <w:color w:val="000000"/>
          <w:sz w:val="24"/>
          <w:lang w:eastAsia="zh-CN"/>
        </w:rPr>
        <w:t>六、风险应对与可持续发展</w:t>
      </w:r>
    </w:p>
    <w:p w14:paraId="084A875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color w:val="000000"/>
          <w:sz w:val="24"/>
          <w:lang w:eastAsia="zh-CN"/>
        </w:rPr>
      </w:pPr>
      <w:r>
        <w:rPr>
          <w:rFonts w:hint="eastAsia" w:ascii="宋体" w:hAnsi="宋体" w:eastAsia="宋体" w:cs="Times New Roman"/>
          <w:color w:val="000000"/>
          <w:sz w:val="24"/>
          <w:lang w:eastAsia="zh-CN"/>
        </w:rPr>
        <w:t>每年研发投入不低于营收的8%，申请PCT国际专利，构建全球知识产权护城河。推行绿色工厂认证，实现铸造废料100%回收利用，降低能耗20%。</w:t>
      </w:r>
    </w:p>
    <w:p w14:paraId="269268B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color w:val="000000"/>
          <w:sz w:val="24"/>
          <w:lang w:eastAsia="zh-CN"/>
        </w:rPr>
      </w:pPr>
      <w:r>
        <w:rPr>
          <w:rFonts w:hint="eastAsia" w:ascii="宋体" w:hAnsi="宋体" w:eastAsia="宋体" w:cs="Times New Roman"/>
          <w:color w:val="000000"/>
          <w:sz w:val="24"/>
          <w:lang w:eastAsia="zh-CN"/>
        </w:rPr>
        <w:t>战略目标</w:t>
      </w:r>
    </w:p>
    <w:p w14:paraId="332141D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color w:val="000000"/>
          <w:sz w:val="24"/>
          <w:lang w:eastAsia="zh-CN"/>
        </w:rPr>
      </w:pPr>
      <w:r>
        <w:rPr>
          <w:rFonts w:hint="eastAsia" w:ascii="宋体" w:hAnsi="宋体" w:eastAsia="宋体" w:cs="Times New Roman"/>
          <w:color w:val="000000"/>
          <w:sz w:val="24"/>
          <w:lang w:eastAsia="zh-CN"/>
        </w:rPr>
        <w:t>短期（2025-2027）：智能化产品占比达40%，海外营收突破5亿元，跻身全球阀门品牌前50强。</w:t>
      </w:r>
    </w:p>
    <w:p w14:paraId="053F9AC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color w:val="000000"/>
          <w:sz w:val="24"/>
          <w:lang w:eastAsia="zh-CN"/>
        </w:rPr>
      </w:pPr>
      <w:r>
        <w:rPr>
          <w:rFonts w:hint="eastAsia" w:ascii="宋体" w:hAnsi="宋体" w:eastAsia="宋体" w:cs="Times New Roman"/>
          <w:color w:val="000000"/>
          <w:sz w:val="24"/>
          <w:lang w:eastAsia="zh-CN"/>
        </w:rPr>
        <w:t>长期（2028-2030）：成为全球智能阀门解决方案领导者，主导3项国际标准制定，市值超百亿元。</w:t>
      </w:r>
    </w:p>
    <w:p w14:paraId="7B50C559">
      <w:pPr>
        <w:spacing w:line="360" w:lineRule="auto"/>
        <w:rPr>
          <w:b/>
          <w:sz w:val="24"/>
          <w:szCs w:val="24"/>
        </w:rPr>
      </w:pPr>
      <w:r>
        <w:rPr>
          <w:b/>
          <w:sz w:val="24"/>
          <w:szCs w:val="24"/>
        </w:rPr>
        <w:t>2</w:t>
      </w:r>
      <w:r>
        <w:rPr>
          <w:rFonts w:hint="eastAsia"/>
          <w:b/>
          <w:sz w:val="24"/>
          <w:szCs w:val="24"/>
        </w:rPr>
        <w:t>、展望未来</w:t>
      </w:r>
    </w:p>
    <w:p w14:paraId="1B3F304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color w:val="000000"/>
          <w:sz w:val="24"/>
        </w:rPr>
      </w:pPr>
      <w:r>
        <w:rPr>
          <w:rFonts w:hint="eastAsia" w:ascii="宋体" w:hAnsi="宋体" w:eastAsia="宋体" w:cs="Times New Roman"/>
          <w:color w:val="000000"/>
          <w:sz w:val="24"/>
        </w:rPr>
        <w:t>未来，阀门生产企业将迎来市场规模的持续扩张。从全球视角看，国际能源署（IEA）预测直至 2030 年，全球能源需求仍会保持一定幅度增长，石油天然气行业的产能建设将持续推进，这将直接带动各类阀门产品的需求上扬。在新兴经济体，城市化与工业化进程的加快促使基础设施建设大规模开展，例如东南亚、印度等地区对能源开发、城市供水供电系统构建的需求日益旺盛，为阀门生产企业开拓海外市场提供了广阔空间。​</w:t>
      </w:r>
    </w:p>
    <w:p w14:paraId="77D5D21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color w:val="000000"/>
          <w:sz w:val="24"/>
        </w:rPr>
      </w:pPr>
      <w:r>
        <w:rPr>
          <w:rFonts w:hint="eastAsia" w:ascii="宋体" w:hAnsi="宋体" w:eastAsia="宋体" w:cs="Times New Roman"/>
          <w:color w:val="000000"/>
          <w:sz w:val="24"/>
        </w:rPr>
        <w:t>聚焦国内，随着 “西气东输” 四线、五线等重大能源工程项目的实施，以及各地污水处理厂、火力发电厂改造升级项目的不断涌现，对阀门的需求数量和质量都提出了更高要求。据相关预测，2024 - 2025 年我国阀门市场规模有望分别达到 161 亿美元、171 亿美元，增速分别为 5.92%、6.21%，国内阀门生产企业凭借地缘优势与对本土市场的深入了解，将在这波市场增长中分得一杯羹。</w:t>
      </w:r>
    </w:p>
    <w:p w14:paraId="2DB678F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color w:val="000000"/>
          <w:sz w:val="24"/>
        </w:rPr>
      </w:pPr>
      <w:r>
        <w:rPr>
          <w:rFonts w:hint="eastAsia" w:ascii="宋体" w:hAnsi="宋体" w:eastAsia="宋体" w:cs="Times New Roman"/>
          <w:color w:val="000000"/>
          <w:sz w:val="24"/>
        </w:rPr>
        <w:t>（一）深化绿色可持续发展</w:t>
      </w:r>
    </w:p>
    <w:p w14:paraId="351F0B9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color w:val="000000"/>
          <w:sz w:val="24"/>
        </w:rPr>
      </w:pPr>
      <w:r>
        <w:rPr>
          <w:rFonts w:hint="eastAsia" w:ascii="宋体" w:hAnsi="宋体" w:eastAsia="宋体" w:cs="Times New Roman"/>
          <w:color w:val="000000"/>
          <w:sz w:val="24"/>
        </w:rPr>
        <w:t>阀门生产企业将进一步深化绿色生产理念，从原材料采购到产品制造、使用及回收的全生命周期践行环保责任。在采购环节，优先选择环保型原材料，减少对不可再生资源的依赖；生产过程中，持续优化工艺，采用清洁生产技术，降低废水、废气、废渣排放，减少对周边环境的污染。同时，积极研发可回收、可降解的阀门产品，推动行业循环经济发展，助力实现 “双碳” 目标。</w:t>
      </w:r>
    </w:p>
    <w:p w14:paraId="350AA6F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olor w:val="000000"/>
          <w:sz w:val="24"/>
        </w:rPr>
      </w:pPr>
      <w:r>
        <w:rPr>
          <w:rFonts w:hint="eastAsia" w:ascii="宋体" w:hAnsi="宋体"/>
          <w:color w:val="000000"/>
          <w:sz w:val="24"/>
        </w:rPr>
        <w:t>（二）强化员工关怀与成长</w:t>
      </w:r>
    </w:p>
    <w:p w14:paraId="57BD5C0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olor w:val="000000"/>
          <w:sz w:val="24"/>
        </w:rPr>
      </w:pPr>
      <w:r>
        <w:rPr>
          <w:rFonts w:hint="eastAsia" w:ascii="宋体" w:hAnsi="宋体"/>
          <w:color w:val="000000"/>
          <w:sz w:val="24"/>
        </w:rPr>
        <w:t>未来，企业将更加注重员工权益保障与职业发展。通过完善薪酬福利体系、改善工作环境，提升员工满意度与归属感；建立多元化的培训体系，为员工提供技能培训、职业规划指导，帮助员工实现个人价值与职业成长。此外，关注员工身心健康，开展心理健康辅导、文体活动等，营造和谐、积极的企业文化氛围，让员工与企业共同成长。</w:t>
      </w:r>
    </w:p>
    <w:p w14:paraId="104ECE2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olor w:val="000000"/>
          <w:sz w:val="24"/>
        </w:rPr>
      </w:pPr>
      <w:r>
        <w:rPr>
          <w:rFonts w:hint="eastAsia" w:ascii="宋体" w:hAnsi="宋体"/>
          <w:color w:val="000000"/>
          <w:sz w:val="24"/>
        </w:rPr>
        <w:t>（三）积极投身社会公益</w:t>
      </w:r>
    </w:p>
    <w:p w14:paraId="10ECE6B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olor w:val="000000"/>
          <w:sz w:val="24"/>
        </w:rPr>
      </w:pPr>
      <w:r>
        <w:rPr>
          <w:rFonts w:hint="eastAsia" w:ascii="宋体" w:hAnsi="宋体"/>
          <w:color w:val="000000"/>
          <w:sz w:val="24"/>
        </w:rPr>
        <w:t>阀门生产企业将积极履行社会责任，投身社会公益事业。参与教育公益，为贫困地区学校捐赠物资、设立奖学金，助力改善教育条件；支持乡村振兴，通过产业帮扶、消费帮扶等方式，带动农村经济发展；在自然灾害发生时，积极捐款捐物、提供技术支持，展现企业担当，回馈社会。</w:t>
      </w:r>
    </w:p>
    <w:p w14:paraId="2728F06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olor w:val="000000"/>
          <w:sz w:val="24"/>
        </w:rPr>
      </w:pPr>
      <w:r>
        <w:rPr>
          <w:rFonts w:hint="eastAsia" w:ascii="宋体" w:hAnsi="宋体"/>
          <w:color w:val="000000"/>
          <w:sz w:val="24"/>
        </w:rPr>
        <w:t>（四）推动行业责任共担</w:t>
      </w:r>
    </w:p>
    <w:p w14:paraId="7691B76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olor w:val="000000"/>
          <w:sz w:val="24"/>
        </w:rPr>
      </w:pPr>
      <w:r>
        <w:rPr>
          <w:rFonts w:hint="eastAsia" w:ascii="宋体" w:hAnsi="宋体"/>
          <w:color w:val="000000"/>
          <w:sz w:val="24"/>
        </w:rPr>
        <w:t>领先的阀门生产企业将发挥示范引领作用，联合行业协会、上下游企业，共同制定行业社会责任标准与规范，推动整个行业提升社会责任意识。通过共享环保技术、管理经验，加强行业自律，促进阀门行业可持续、健康发展，实现经济效益与社会效益的双赢。</w:t>
      </w:r>
    </w:p>
    <w:p w14:paraId="38EEE01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olor w:val="000000"/>
          <w:sz w:val="24"/>
        </w:rPr>
      </w:pPr>
    </w:p>
    <w:p w14:paraId="3AA0860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olor w:val="000000"/>
          <w:sz w:val="24"/>
        </w:rPr>
      </w:pPr>
    </w:p>
    <w:p w14:paraId="57F648D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olor w:val="000000"/>
          <w:sz w:val="24"/>
        </w:rPr>
      </w:pPr>
    </w:p>
    <w:p w14:paraId="1D6D6E5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olor w:val="000000"/>
          <w:sz w:val="24"/>
        </w:rPr>
      </w:pPr>
    </w:p>
    <w:p w14:paraId="53959D5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olor w:val="000000"/>
          <w:sz w:val="24"/>
        </w:rPr>
      </w:pPr>
    </w:p>
    <w:p w14:paraId="432762E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olor w:val="000000"/>
          <w:sz w:val="24"/>
        </w:rPr>
      </w:pPr>
    </w:p>
    <w:p w14:paraId="5759282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olor w:val="000000"/>
          <w:sz w:val="24"/>
        </w:rPr>
      </w:pPr>
    </w:p>
    <w:p w14:paraId="6276E4B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olor w:val="000000"/>
          <w:sz w:val="24"/>
        </w:rPr>
      </w:pPr>
    </w:p>
    <w:p w14:paraId="70ED5E8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olor w:val="000000"/>
          <w:sz w:val="24"/>
        </w:rPr>
      </w:pPr>
    </w:p>
    <w:p w14:paraId="4DBFA98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olor w:val="000000"/>
          <w:sz w:val="24"/>
        </w:rPr>
      </w:pPr>
    </w:p>
    <w:p w14:paraId="69A1399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olor w:val="000000"/>
          <w:sz w:val="24"/>
        </w:rPr>
      </w:pPr>
    </w:p>
    <w:p w14:paraId="6035FE8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olor w:val="000000"/>
          <w:sz w:val="24"/>
        </w:rPr>
      </w:pPr>
    </w:p>
    <w:p w14:paraId="246EB9D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olor w:val="000000"/>
          <w:sz w:val="24"/>
        </w:rPr>
      </w:pPr>
    </w:p>
    <w:p w14:paraId="451D432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olor w:val="000000"/>
          <w:sz w:val="24"/>
        </w:rPr>
      </w:pPr>
    </w:p>
    <w:p w14:paraId="653FEC9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olor w:val="000000"/>
          <w:sz w:val="24"/>
        </w:rPr>
      </w:pPr>
    </w:p>
    <w:p w14:paraId="2A4AEB5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olor w:val="000000"/>
          <w:sz w:val="24"/>
        </w:rPr>
      </w:pPr>
    </w:p>
    <w:p w14:paraId="3F6ABFB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olor w:val="000000"/>
          <w:sz w:val="24"/>
        </w:rPr>
      </w:pPr>
    </w:p>
    <w:p w14:paraId="14D2A4B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olor w:val="000000"/>
          <w:sz w:val="24"/>
        </w:rPr>
      </w:pPr>
    </w:p>
    <w:p w14:paraId="6F3FF0C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olor w:val="000000"/>
          <w:sz w:val="24"/>
        </w:rPr>
      </w:pPr>
    </w:p>
    <w:p w14:paraId="6D622558">
      <w:pPr>
        <w:pStyle w:val="3"/>
        <w:keepNext w:val="0"/>
        <w:keepLines w:val="0"/>
        <w:pageBreakBefore w:val="0"/>
        <w:widowControl w:val="0"/>
        <w:kinsoku/>
        <w:wordWrap/>
        <w:overflowPunct/>
        <w:topLinePunct w:val="0"/>
        <w:autoSpaceDE w:val="0"/>
        <w:autoSpaceDN w:val="0"/>
        <w:bidi w:val="0"/>
        <w:adjustRightInd/>
        <w:snapToGrid/>
        <w:spacing w:line="360" w:lineRule="auto"/>
        <w:jc w:val="both"/>
        <w:textAlignment w:val="auto"/>
        <w:rPr>
          <w:rFonts w:ascii="Times New Roman" w:hAnsi="Times New Roman" w:eastAsia="黑体"/>
          <w:b/>
          <w:sz w:val="28"/>
          <w:lang w:eastAsia="zh-CN"/>
        </w:rPr>
      </w:pPr>
      <w:r>
        <w:rPr>
          <w:rFonts w:hint="eastAsia" w:ascii="Times New Roman" w:hAnsi="Times New Roman" w:eastAsia="黑体"/>
          <w:b/>
          <w:sz w:val="28"/>
          <w:lang w:eastAsia="zh-CN"/>
        </w:rPr>
        <w:t>报告附录</w:t>
      </w:r>
    </w:p>
    <w:p w14:paraId="74099A30">
      <w:pPr>
        <w:pStyle w:val="8"/>
        <w:keepNext w:val="0"/>
        <w:keepLines w:val="0"/>
        <w:pageBreakBefore w:val="0"/>
        <w:widowControl w:val="0"/>
        <w:kinsoku/>
        <w:wordWrap/>
        <w:overflowPunct/>
        <w:topLinePunct w:val="0"/>
        <w:autoSpaceDE w:val="0"/>
        <w:autoSpaceDN w:val="0"/>
        <w:bidi w:val="0"/>
        <w:adjustRightInd/>
        <w:snapToGrid/>
        <w:spacing w:before="37" w:line="400" w:lineRule="exact"/>
        <w:ind w:left="3796" w:right="3794"/>
        <w:jc w:val="both"/>
        <w:textAlignment w:val="auto"/>
        <w:rPr>
          <w:rFonts w:ascii="Times New Roman" w:hAnsi="Times New Roman"/>
          <w:sz w:val="20"/>
          <w:lang w:eastAsia="zh-CN"/>
        </w:rPr>
      </w:pPr>
      <w:r>
        <w:rPr>
          <w:rFonts w:hint="eastAsia" w:ascii="Times New Roman" w:hAnsi="Times New Roman" w:eastAsia="黑体"/>
          <w:lang w:eastAsia="zh-CN"/>
        </w:rPr>
        <w:t>意见反馈表</w:t>
      </w:r>
    </w:p>
    <w:p w14:paraId="27BD3D51">
      <w:pPr>
        <w:pStyle w:val="8"/>
        <w:keepNext w:val="0"/>
        <w:keepLines w:val="0"/>
        <w:pageBreakBefore w:val="0"/>
        <w:widowControl w:val="0"/>
        <w:kinsoku/>
        <w:wordWrap/>
        <w:overflowPunct/>
        <w:topLinePunct w:val="0"/>
        <w:autoSpaceDE w:val="0"/>
        <w:autoSpaceDN w:val="0"/>
        <w:bidi w:val="0"/>
        <w:adjustRightInd/>
        <w:snapToGrid/>
        <w:spacing w:line="400" w:lineRule="exact"/>
        <w:ind w:left="118"/>
        <w:jc w:val="both"/>
        <w:textAlignment w:val="auto"/>
        <w:rPr>
          <w:rFonts w:ascii="Times New Roman" w:hAnsi="Times New Roman"/>
          <w:lang w:eastAsia="zh-CN"/>
        </w:rPr>
      </w:pPr>
      <w:r>
        <w:rPr>
          <w:rFonts w:ascii="Times New Roman" w:hAnsi="Times New Roman"/>
          <w:lang w:eastAsia="zh-CN"/>
        </w:rPr>
        <w:t>尊敬的读者：</w:t>
      </w:r>
    </w:p>
    <w:p w14:paraId="275C24C5">
      <w:pPr>
        <w:pStyle w:val="8"/>
        <w:keepNext w:val="0"/>
        <w:keepLines w:val="0"/>
        <w:pageBreakBefore w:val="0"/>
        <w:widowControl w:val="0"/>
        <w:kinsoku/>
        <w:wordWrap/>
        <w:overflowPunct/>
        <w:topLinePunct w:val="0"/>
        <w:autoSpaceDE w:val="0"/>
        <w:autoSpaceDN w:val="0"/>
        <w:bidi w:val="0"/>
        <w:adjustRightInd/>
        <w:snapToGrid/>
        <w:spacing w:line="400" w:lineRule="exact"/>
        <w:ind w:left="538"/>
        <w:jc w:val="both"/>
        <w:textAlignment w:val="auto"/>
        <w:rPr>
          <w:rFonts w:ascii="Times New Roman" w:hAnsi="Times New Roman"/>
          <w:lang w:eastAsia="zh-CN"/>
        </w:rPr>
      </w:pPr>
      <w:r>
        <w:rPr>
          <w:rFonts w:ascii="Times New Roman" w:hAnsi="Times New Roman"/>
          <w:lang w:eastAsia="zh-CN"/>
        </w:rPr>
        <w:t>您好！</w:t>
      </w:r>
    </w:p>
    <w:p w14:paraId="0B6BE354">
      <w:pPr>
        <w:pStyle w:val="8"/>
        <w:keepNext w:val="0"/>
        <w:keepLines w:val="0"/>
        <w:pageBreakBefore w:val="0"/>
        <w:widowControl w:val="0"/>
        <w:kinsoku/>
        <w:wordWrap/>
        <w:overflowPunct/>
        <w:topLinePunct w:val="0"/>
        <w:autoSpaceDE w:val="0"/>
        <w:autoSpaceDN w:val="0"/>
        <w:bidi w:val="0"/>
        <w:adjustRightInd/>
        <w:snapToGrid/>
        <w:spacing w:before="1" w:line="400" w:lineRule="exact"/>
        <w:ind w:left="118" w:right="109" w:firstLine="420"/>
        <w:jc w:val="both"/>
        <w:textAlignment w:val="auto"/>
        <w:rPr>
          <w:rFonts w:ascii="Times New Roman" w:hAnsi="Times New Roman"/>
          <w:lang w:eastAsia="zh-CN"/>
        </w:rPr>
      </w:pPr>
      <w:r>
        <w:rPr>
          <w:rFonts w:ascii="Times New Roman" w:hAnsi="Times New Roman"/>
          <w:spacing w:val="-4"/>
          <w:lang w:eastAsia="zh-CN"/>
        </w:rPr>
        <w:t>非常感谢您在百忙之中阅读《</w:t>
      </w:r>
      <w:r>
        <w:rPr>
          <w:rFonts w:hint="eastAsia" w:ascii="Times New Roman" w:hAnsi="Times New Roman"/>
          <w:spacing w:val="-4"/>
          <w:lang w:eastAsia="zh-CN"/>
        </w:rPr>
        <w:t>特宏阀门集团有限公司202</w:t>
      </w:r>
      <w:r>
        <w:rPr>
          <w:rFonts w:hint="eastAsia" w:ascii="Times New Roman" w:hAnsi="Times New Roman"/>
          <w:spacing w:val="-4"/>
          <w:lang w:val="en-US" w:eastAsia="zh-CN"/>
        </w:rPr>
        <w:t>4</w:t>
      </w:r>
      <w:r>
        <w:rPr>
          <w:rFonts w:ascii="Times New Roman" w:hAnsi="Times New Roman"/>
          <w:spacing w:val="-13"/>
          <w:lang w:eastAsia="zh-CN"/>
        </w:rPr>
        <w:t>年社会责任报告》。为了改进公司社会责任工作，提</w:t>
      </w:r>
      <w:r>
        <w:rPr>
          <w:rFonts w:ascii="Times New Roman" w:hAnsi="Times New Roman"/>
          <w:spacing w:val="-12"/>
          <w:lang w:eastAsia="zh-CN"/>
        </w:rPr>
        <w:t>高公司履行社会责任能力和水平，我们特别希望倾听您的意见与建议，报告在编写过程中难免存在</w:t>
      </w:r>
      <w:r>
        <w:rPr>
          <w:rFonts w:ascii="Times New Roman" w:hAnsi="Times New Roman"/>
          <w:spacing w:val="-6"/>
          <w:lang w:eastAsia="zh-CN"/>
        </w:rPr>
        <w:t>瑕疵和疏漏，请您不吝赐教！</w:t>
      </w:r>
    </w:p>
    <w:p w14:paraId="05FC93C2">
      <w:pPr>
        <w:pStyle w:val="8"/>
        <w:keepNext w:val="0"/>
        <w:keepLines w:val="0"/>
        <w:pageBreakBefore w:val="0"/>
        <w:widowControl w:val="0"/>
        <w:kinsoku/>
        <w:wordWrap/>
        <w:overflowPunct/>
        <w:topLinePunct w:val="0"/>
        <w:autoSpaceDE w:val="0"/>
        <w:autoSpaceDN w:val="0"/>
        <w:bidi w:val="0"/>
        <w:adjustRightInd/>
        <w:snapToGrid/>
        <w:spacing w:line="400" w:lineRule="exact"/>
        <w:ind w:left="538"/>
        <w:jc w:val="both"/>
        <w:textAlignment w:val="auto"/>
        <w:rPr>
          <w:rFonts w:ascii="Times New Roman" w:hAnsi="Times New Roman"/>
          <w:lang w:eastAsia="zh-CN"/>
        </w:rPr>
      </w:pPr>
      <w:r>
        <w:rPr>
          <w:rFonts w:ascii="Times New Roman" w:hAnsi="Times New Roman"/>
          <w:lang w:eastAsia="zh-CN"/>
        </w:rPr>
        <w:t>谢谢！</w:t>
      </w:r>
    </w:p>
    <w:p w14:paraId="3A408124">
      <w:pPr>
        <w:pStyle w:val="8"/>
        <w:keepNext w:val="0"/>
        <w:keepLines w:val="0"/>
        <w:pageBreakBefore w:val="0"/>
        <w:widowControl w:val="0"/>
        <w:kinsoku/>
        <w:wordWrap/>
        <w:overflowPunct/>
        <w:topLinePunct w:val="0"/>
        <w:autoSpaceDE w:val="0"/>
        <w:autoSpaceDN w:val="0"/>
        <w:bidi w:val="0"/>
        <w:adjustRightInd/>
        <w:snapToGrid/>
        <w:spacing w:line="400" w:lineRule="exact"/>
        <w:ind w:right="112"/>
        <w:jc w:val="right"/>
        <w:textAlignment w:val="auto"/>
        <w:rPr>
          <w:rFonts w:ascii="Times New Roman" w:hAnsi="Times New Roman"/>
          <w:lang w:eastAsia="zh-CN"/>
        </w:rPr>
      </w:pPr>
      <w:r>
        <w:rPr>
          <w:rFonts w:hint="eastAsia" w:ascii="Times New Roman" w:hAnsi="Times New Roman"/>
          <w:lang w:eastAsia="zh-CN"/>
        </w:rPr>
        <w:t>特宏阀门集团</w:t>
      </w:r>
      <w:r>
        <w:rPr>
          <w:rFonts w:ascii="Times New Roman" w:hAnsi="Times New Roman"/>
          <w:lang w:eastAsia="zh-CN"/>
        </w:rPr>
        <w:t>有限公司</w:t>
      </w:r>
    </w:p>
    <w:p w14:paraId="232CAC89">
      <w:pPr>
        <w:pStyle w:val="8"/>
        <w:keepNext w:val="0"/>
        <w:keepLines w:val="0"/>
        <w:pageBreakBefore w:val="0"/>
        <w:widowControl w:val="0"/>
        <w:kinsoku/>
        <w:wordWrap/>
        <w:overflowPunct/>
        <w:topLinePunct w:val="0"/>
        <w:autoSpaceDE w:val="0"/>
        <w:autoSpaceDN w:val="0"/>
        <w:bidi w:val="0"/>
        <w:adjustRightInd/>
        <w:snapToGrid/>
        <w:spacing w:line="400" w:lineRule="exact"/>
        <w:ind w:right="112"/>
        <w:jc w:val="right"/>
        <w:textAlignment w:val="auto"/>
        <w:rPr>
          <w:rFonts w:ascii="Times New Roman" w:hAnsi="Times New Roman"/>
          <w:lang w:eastAsia="zh-CN"/>
        </w:rPr>
      </w:pPr>
      <w:r>
        <w:rPr>
          <w:rFonts w:ascii="Times New Roman" w:hAnsi="Times New Roman"/>
          <w:lang w:eastAsia="zh-CN"/>
        </w:rPr>
        <w:t>20</w:t>
      </w:r>
      <w:r>
        <w:rPr>
          <w:rFonts w:hint="eastAsia" w:ascii="Times New Roman" w:hAnsi="Times New Roman"/>
          <w:lang w:val="en-US" w:eastAsia="zh-CN"/>
        </w:rPr>
        <w:t>25</w:t>
      </w:r>
      <w:r>
        <w:rPr>
          <w:rFonts w:ascii="Times New Roman" w:hAnsi="Times New Roman"/>
          <w:lang w:eastAsia="zh-CN"/>
        </w:rPr>
        <w:t>年</w:t>
      </w:r>
      <w:r>
        <w:rPr>
          <w:rFonts w:hint="eastAsia" w:ascii="Times New Roman" w:hAnsi="Times New Roman"/>
          <w:lang w:val="en-US" w:eastAsia="zh-CN"/>
        </w:rPr>
        <w:t>4</w:t>
      </w:r>
      <w:r>
        <w:rPr>
          <w:rFonts w:ascii="Times New Roman" w:hAnsi="Times New Roman"/>
          <w:lang w:eastAsia="zh-CN"/>
        </w:rPr>
        <w:t>月</w:t>
      </w:r>
      <w:r>
        <w:rPr>
          <w:rFonts w:hint="eastAsia" w:ascii="Times New Roman" w:hAnsi="Times New Roman"/>
          <w:lang w:val="en-US" w:eastAsia="zh-CN"/>
        </w:rPr>
        <w:t>10</w:t>
      </w:r>
      <w:r>
        <w:rPr>
          <w:rFonts w:ascii="Times New Roman" w:hAnsi="Times New Roman"/>
          <w:lang w:eastAsia="zh-CN"/>
        </w:rPr>
        <w:t>日</w:t>
      </w:r>
    </w:p>
    <w:p w14:paraId="75D9F7EF">
      <w:pPr>
        <w:pStyle w:val="8"/>
        <w:keepNext w:val="0"/>
        <w:keepLines w:val="0"/>
        <w:pageBreakBefore w:val="0"/>
        <w:widowControl w:val="0"/>
        <w:kinsoku/>
        <w:wordWrap/>
        <w:overflowPunct/>
        <w:topLinePunct w:val="0"/>
        <w:autoSpaceDE w:val="0"/>
        <w:autoSpaceDN w:val="0"/>
        <w:bidi w:val="0"/>
        <w:adjustRightInd/>
        <w:snapToGrid/>
        <w:spacing w:line="400" w:lineRule="exact"/>
        <w:jc w:val="both"/>
        <w:textAlignment w:val="auto"/>
        <w:rPr>
          <w:rFonts w:ascii="Times New Roman" w:hAnsi="Times New Roman"/>
          <w:sz w:val="11"/>
          <w:lang w:eastAsia="zh-CN"/>
        </w:rPr>
      </w:pPr>
      <w:r>
        <w:rPr>
          <w:rFonts w:ascii="Times New Roman" w:hAnsi="Times New Roman"/>
        </w:rPr>
        <mc:AlternateContent>
          <mc:Choice Requires="wps">
            <w:drawing>
              <wp:anchor distT="0" distB="0" distL="114300" distR="114300" simplePos="0" relativeHeight="251661312" behindDoc="0" locked="0" layoutInCell="1" allowOverlap="1">
                <wp:simplePos x="0" y="0"/>
                <wp:positionH relativeFrom="page">
                  <wp:posOffset>900430</wp:posOffset>
                </wp:positionH>
                <wp:positionV relativeFrom="paragraph">
                  <wp:posOffset>203835</wp:posOffset>
                </wp:positionV>
                <wp:extent cx="5715000" cy="0"/>
                <wp:effectExtent l="0" t="12700" r="0" b="12700"/>
                <wp:wrapTopAndBottom/>
                <wp:docPr id="12" name="直接连接符 12"/>
                <wp:cNvGraphicFramePr/>
                <a:graphic xmlns:a="http://schemas.openxmlformats.org/drawingml/2006/main">
                  <a:graphicData uri="http://schemas.microsoft.com/office/word/2010/wordprocessingShape">
                    <wps:wsp>
                      <wps:cNvCnPr/>
                      <wps:spPr>
                        <a:xfrm>
                          <a:off x="0" y="0"/>
                          <a:ext cx="5715000" cy="0"/>
                        </a:xfrm>
                        <a:prstGeom prst="line">
                          <a:avLst/>
                        </a:prstGeom>
                        <a:ln w="25400"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70.9pt;margin-top:16.05pt;height:0pt;width:450pt;mso-position-horizontal-relative:page;mso-wrap-distance-bottom:0pt;mso-wrap-distance-top:0pt;z-index:251661312;mso-width-relative:page;mso-height-relative:page;" filled="f" stroked="t" coordsize="21600,21600" o:gfxdata="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IEosOPUAAAACgEAAA8AAAAAAAAAAQAgAAAAIgAAAGRycy9kb3ducmV2LnhtbFBLAQIUABQA&#10;AAAIAIdO4kAixdpO9AEAAOcDAAAOAAAAAAAAAAEAIAAAACMBAABkcnMvZTJvRG9jLnhtbFBLBQYA&#10;AAAABgAGAFkBAACJBQAAAAA=&#10;">
                <v:fill on="f" focussize="0,0"/>
                <v:stroke weight="2pt" color="#000000" joinstyle="round"/>
                <v:imagedata o:title=""/>
                <o:lock v:ext="edit" aspectratio="f"/>
                <w10:wrap type="topAndBottom"/>
              </v:line>
            </w:pict>
          </mc:Fallback>
        </mc:AlternateContent>
      </w:r>
    </w:p>
    <w:p w14:paraId="2FDADD94">
      <w:pPr>
        <w:pStyle w:val="8"/>
        <w:keepNext w:val="0"/>
        <w:keepLines w:val="0"/>
        <w:pageBreakBefore w:val="0"/>
        <w:widowControl w:val="0"/>
        <w:kinsoku/>
        <w:wordWrap/>
        <w:overflowPunct/>
        <w:topLinePunct w:val="0"/>
        <w:autoSpaceDE w:val="0"/>
        <w:autoSpaceDN w:val="0"/>
        <w:bidi w:val="0"/>
        <w:adjustRightInd/>
        <w:snapToGrid/>
        <w:spacing w:before="36" w:line="400" w:lineRule="exact"/>
        <w:ind w:left="118"/>
        <w:jc w:val="both"/>
        <w:textAlignment w:val="auto"/>
        <w:rPr>
          <w:rFonts w:ascii="Times New Roman" w:hAnsi="Times New Roman"/>
          <w:sz w:val="20"/>
          <w:lang w:eastAsia="zh-CN"/>
        </w:rPr>
      </w:pPr>
      <w:r>
        <w:rPr>
          <w:rFonts w:ascii="Times New Roman" w:hAnsi="Times New Roman"/>
          <w:lang w:eastAsia="zh-CN"/>
        </w:rPr>
        <w:t>1、您对本报告的总体评价如何？</w:t>
      </w:r>
    </w:p>
    <w:p w14:paraId="2B9DBC9E">
      <w:pPr>
        <w:pStyle w:val="8"/>
        <w:keepNext w:val="0"/>
        <w:keepLines w:val="0"/>
        <w:pageBreakBefore w:val="0"/>
        <w:widowControl w:val="0"/>
        <w:kinsoku/>
        <w:wordWrap/>
        <w:overflowPunct/>
        <w:topLinePunct w:val="0"/>
        <w:autoSpaceDE w:val="0"/>
        <w:autoSpaceDN w:val="0"/>
        <w:bidi w:val="0"/>
        <w:adjustRightInd/>
        <w:snapToGrid/>
        <w:spacing w:before="7" w:line="400" w:lineRule="exact"/>
        <w:jc w:val="both"/>
        <w:textAlignment w:val="auto"/>
        <w:rPr>
          <w:rFonts w:ascii="Times New Roman" w:hAnsi="Times New Roman"/>
          <w:sz w:val="18"/>
          <w:lang w:eastAsia="zh-CN"/>
        </w:rPr>
      </w:pPr>
      <w:r>
        <w:rPr>
          <w:rFonts w:ascii="Times New Roman" w:hAnsi="Times New Roman"/>
        </w:rPr>
        <mc:AlternateContent>
          <mc:Choice Requires="wps">
            <w:drawing>
              <wp:anchor distT="0" distB="0" distL="114300" distR="114300" simplePos="0" relativeHeight="251662336" behindDoc="0" locked="0" layoutInCell="1" allowOverlap="1">
                <wp:simplePos x="0" y="0"/>
                <wp:positionH relativeFrom="page">
                  <wp:posOffset>901065</wp:posOffset>
                </wp:positionH>
                <wp:positionV relativeFrom="paragraph">
                  <wp:posOffset>182880</wp:posOffset>
                </wp:positionV>
                <wp:extent cx="5467350" cy="0"/>
                <wp:effectExtent l="0" t="4445" r="0" b="5080"/>
                <wp:wrapTopAndBottom/>
                <wp:docPr id="13" name="直接连接符 13"/>
                <wp:cNvGraphicFramePr/>
                <a:graphic xmlns:a="http://schemas.openxmlformats.org/drawingml/2006/main">
                  <a:graphicData uri="http://schemas.microsoft.com/office/word/2010/wordprocessingShape">
                    <wps:wsp>
                      <wps:cNvCnPr/>
                      <wps:spPr>
                        <a:xfrm>
                          <a:off x="0" y="0"/>
                          <a:ext cx="5467350" cy="0"/>
                        </a:xfrm>
                        <a:prstGeom prst="line">
                          <a:avLst/>
                        </a:prstGeom>
                        <a:ln w="7620"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70.95pt;margin-top:14.4pt;height:0pt;width:430.5pt;mso-position-horizontal-relative:page;mso-wrap-distance-bottom:0pt;mso-wrap-distance-top:0pt;z-index:251662336;mso-width-relative:page;mso-height-relative:page;" filled="f" stroked="t" coordsize="21600,21600" o:gfxdata="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Gf1sF7VAAAACgEAAA8AAAAAAAAAAQAgAAAAIgAAAGRycy9kb3ducmV2LnhtbFBLAQIU&#10;ABQAAAAIAIdO4kDJopie9gEAAOYDAAAOAAAAAAAAAAEAIAAAACQBAABkcnMvZTJvRG9jLnhtbFBL&#10;BQYAAAAABgAGAFkBAACMBQAAAAA=&#10;">
                <v:fill on="f" focussize="0,0"/>
                <v:stroke weight="0.6pt" color="#000000" joinstyle="round"/>
                <v:imagedata o:title=""/>
                <o:lock v:ext="edit" aspectratio="f"/>
                <w10:wrap type="topAndBottom"/>
              </v:line>
            </w:pict>
          </mc:Fallback>
        </mc:AlternateContent>
      </w:r>
    </w:p>
    <w:p w14:paraId="44D58FA0">
      <w:pPr>
        <w:pStyle w:val="8"/>
        <w:keepNext w:val="0"/>
        <w:keepLines w:val="0"/>
        <w:pageBreakBefore w:val="0"/>
        <w:widowControl w:val="0"/>
        <w:kinsoku/>
        <w:wordWrap/>
        <w:overflowPunct/>
        <w:topLinePunct w:val="0"/>
        <w:autoSpaceDE w:val="0"/>
        <w:autoSpaceDN w:val="0"/>
        <w:bidi w:val="0"/>
        <w:adjustRightInd/>
        <w:snapToGrid/>
        <w:spacing w:before="36" w:line="400" w:lineRule="exact"/>
        <w:ind w:left="118"/>
        <w:jc w:val="both"/>
        <w:textAlignment w:val="auto"/>
        <w:rPr>
          <w:rFonts w:ascii="Times New Roman" w:hAnsi="Times New Roman"/>
          <w:sz w:val="20"/>
          <w:lang w:eastAsia="zh-CN"/>
        </w:rPr>
      </w:pPr>
      <w:r>
        <w:rPr>
          <w:rFonts w:ascii="Times New Roman" w:hAnsi="Times New Roman"/>
          <w:lang w:eastAsia="zh-CN"/>
        </w:rPr>
        <w:t>2、您通过本报告是否了解</w:t>
      </w:r>
      <w:r>
        <w:rPr>
          <w:rFonts w:hint="eastAsia" w:ascii="Times New Roman" w:hAnsi="Times New Roman"/>
          <w:lang w:val="en-US" w:eastAsia="zh-CN"/>
        </w:rPr>
        <w:t>珠城科技</w:t>
      </w:r>
      <w:r>
        <w:rPr>
          <w:rFonts w:ascii="Times New Roman" w:hAnsi="Times New Roman"/>
          <w:lang w:eastAsia="zh-CN"/>
        </w:rPr>
        <w:t>公司的社会责任履行情况？</w:t>
      </w:r>
    </w:p>
    <w:p w14:paraId="1CAA0204">
      <w:pPr>
        <w:pStyle w:val="8"/>
        <w:keepNext w:val="0"/>
        <w:keepLines w:val="0"/>
        <w:pageBreakBefore w:val="0"/>
        <w:widowControl w:val="0"/>
        <w:kinsoku/>
        <w:wordWrap/>
        <w:overflowPunct/>
        <w:topLinePunct w:val="0"/>
        <w:autoSpaceDE w:val="0"/>
        <w:autoSpaceDN w:val="0"/>
        <w:bidi w:val="0"/>
        <w:adjustRightInd/>
        <w:snapToGrid/>
        <w:spacing w:before="7" w:line="400" w:lineRule="exact"/>
        <w:jc w:val="both"/>
        <w:textAlignment w:val="auto"/>
        <w:rPr>
          <w:rFonts w:ascii="Times New Roman" w:hAnsi="Times New Roman"/>
          <w:sz w:val="14"/>
          <w:lang w:eastAsia="zh-CN"/>
        </w:rPr>
      </w:pPr>
      <w:r>
        <w:rPr>
          <w:rFonts w:ascii="Times New Roman" w:hAnsi="Times New Roman"/>
        </w:rPr>
        <mc:AlternateContent>
          <mc:Choice Requires="wps">
            <w:drawing>
              <wp:anchor distT="0" distB="0" distL="114300" distR="114300" simplePos="0" relativeHeight="251663360" behindDoc="0" locked="0" layoutInCell="1" allowOverlap="1">
                <wp:simplePos x="0" y="0"/>
                <wp:positionH relativeFrom="page">
                  <wp:posOffset>901065</wp:posOffset>
                </wp:positionH>
                <wp:positionV relativeFrom="paragraph">
                  <wp:posOffset>182880</wp:posOffset>
                </wp:positionV>
                <wp:extent cx="5467350" cy="0"/>
                <wp:effectExtent l="0" t="4445" r="0" b="5080"/>
                <wp:wrapTopAndBottom/>
                <wp:docPr id="14" name="直接连接符 14"/>
                <wp:cNvGraphicFramePr/>
                <a:graphic xmlns:a="http://schemas.openxmlformats.org/drawingml/2006/main">
                  <a:graphicData uri="http://schemas.microsoft.com/office/word/2010/wordprocessingShape">
                    <wps:wsp>
                      <wps:cNvCnPr/>
                      <wps:spPr>
                        <a:xfrm>
                          <a:off x="0" y="0"/>
                          <a:ext cx="5467350" cy="0"/>
                        </a:xfrm>
                        <a:prstGeom prst="line">
                          <a:avLst/>
                        </a:prstGeom>
                        <a:ln w="7620"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70.95pt;margin-top:14.4pt;height:0pt;width:430.5pt;mso-position-horizontal-relative:page;mso-wrap-distance-bottom:0pt;mso-wrap-distance-top:0pt;z-index:251663360;mso-width-relative:page;mso-height-relative:page;" filled="f" stroked="t" coordsize="21600,21600" o:gfxdata="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Gf1sF7VAAAACgEAAA8AAAAAAAAAAQAgAAAAIgAAAGRycy9kb3ducmV2LnhtbFBLAQIU&#10;ABQAAAAIAIdO4kDZi9ay9gEAAOYDAAAOAAAAAAAAAAEAIAAAACQBAABkcnMvZTJvRG9jLnhtbFBL&#10;BQYAAAAABgAGAFkBAACMBQAAAAA=&#10;">
                <v:fill on="f" focussize="0,0"/>
                <v:stroke weight="0.6pt" color="#000000" joinstyle="round"/>
                <v:imagedata o:title=""/>
                <o:lock v:ext="edit" aspectratio="f"/>
                <w10:wrap type="topAndBottom"/>
              </v:line>
            </w:pict>
          </mc:Fallback>
        </mc:AlternateContent>
      </w:r>
    </w:p>
    <w:p w14:paraId="65FD23F2">
      <w:pPr>
        <w:pStyle w:val="8"/>
        <w:keepNext w:val="0"/>
        <w:keepLines w:val="0"/>
        <w:pageBreakBefore w:val="0"/>
        <w:widowControl w:val="0"/>
        <w:kinsoku/>
        <w:wordWrap/>
        <w:overflowPunct/>
        <w:topLinePunct w:val="0"/>
        <w:autoSpaceDE w:val="0"/>
        <w:autoSpaceDN w:val="0"/>
        <w:bidi w:val="0"/>
        <w:adjustRightInd/>
        <w:snapToGrid/>
        <w:spacing w:before="36" w:line="400" w:lineRule="exact"/>
        <w:ind w:left="118"/>
        <w:jc w:val="both"/>
        <w:textAlignment w:val="auto"/>
        <w:rPr>
          <w:rFonts w:ascii="Times New Roman" w:hAnsi="Times New Roman"/>
          <w:sz w:val="20"/>
          <w:lang w:eastAsia="zh-CN"/>
        </w:rPr>
      </w:pPr>
      <w:r>
        <w:rPr>
          <w:rFonts w:ascii="Times New Roman" w:hAnsi="Times New Roman"/>
          <w:lang w:eastAsia="zh-CN"/>
        </w:rPr>
        <w:t>3、您认为本报告还应披露哪能些内容？</w:t>
      </w:r>
    </w:p>
    <w:p w14:paraId="16F8D928">
      <w:pPr>
        <w:pStyle w:val="8"/>
        <w:keepNext w:val="0"/>
        <w:keepLines w:val="0"/>
        <w:pageBreakBefore w:val="0"/>
        <w:widowControl w:val="0"/>
        <w:kinsoku/>
        <w:wordWrap/>
        <w:overflowPunct/>
        <w:topLinePunct w:val="0"/>
        <w:autoSpaceDE w:val="0"/>
        <w:autoSpaceDN w:val="0"/>
        <w:bidi w:val="0"/>
        <w:adjustRightInd/>
        <w:snapToGrid/>
        <w:spacing w:before="4" w:line="400" w:lineRule="exact"/>
        <w:jc w:val="both"/>
        <w:textAlignment w:val="auto"/>
        <w:rPr>
          <w:rFonts w:ascii="Times New Roman" w:hAnsi="Times New Roman"/>
          <w:sz w:val="14"/>
          <w:lang w:eastAsia="zh-CN"/>
        </w:rPr>
      </w:pPr>
      <w:r>
        <w:rPr>
          <w:rFonts w:ascii="Times New Roman" w:hAnsi="Times New Roman"/>
        </w:rPr>
        <mc:AlternateContent>
          <mc:Choice Requires="wps">
            <w:drawing>
              <wp:anchor distT="0" distB="0" distL="114300" distR="114300" simplePos="0" relativeHeight="251664384" behindDoc="0" locked="0" layoutInCell="1" allowOverlap="1">
                <wp:simplePos x="0" y="0"/>
                <wp:positionH relativeFrom="page">
                  <wp:posOffset>901065</wp:posOffset>
                </wp:positionH>
                <wp:positionV relativeFrom="paragraph">
                  <wp:posOffset>180975</wp:posOffset>
                </wp:positionV>
                <wp:extent cx="5467350" cy="0"/>
                <wp:effectExtent l="0" t="4445" r="0" b="5080"/>
                <wp:wrapTopAndBottom/>
                <wp:docPr id="8" name="直接连接符 8"/>
                <wp:cNvGraphicFramePr/>
                <a:graphic xmlns:a="http://schemas.openxmlformats.org/drawingml/2006/main">
                  <a:graphicData uri="http://schemas.microsoft.com/office/word/2010/wordprocessingShape">
                    <wps:wsp>
                      <wps:cNvCnPr/>
                      <wps:spPr>
                        <a:xfrm>
                          <a:off x="0" y="0"/>
                          <a:ext cx="5467350" cy="0"/>
                        </a:xfrm>
                        <a:prstGeom prst="line">
                          <a:avLst/>
                        </a:prstGeom>
                        <a:ln w="7620"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70.95pt;margin-top:14.25pt;height:0pt;width:430.5pt;mso-position-horizontal-relative:page;mso-wrap-distance-bottom:0pt;mso-wrap-distance-top:0pt;z-index:251664384;mso-width-relative:page;mso-height-relative:page;" filled="f" stroked="t" coordsize="21600,21600" o:gfxdata="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homeW9YAAAAKAQAADwAAAAAAAAABACAAAAAiAAAAZHJzL2Rvd25yZXYueG1sUEsBAhQA&#10;FAAAAAgAh07iQNXIo9b0AQAA5AMAAA4AAAAAAAAAAQAgAAAAJQEAAGRycy9lMm9Eb2MueG1sUEsF&#10;BgAAAAAGAAYAWQEAAIsFAAAAAA==&#10;">
                <v:fill on="f" focussize="0,0"/>
                <v:stroke weight="0.6pt" color="#000000" joinstyle="round"/>
                <v:imagedata o:title=""/>
                <o:lock v:ext="edit" aspectratio="f"/>
                <w10:wrap type="topAndBottom"/>
              </v:line>
            </w:pict>
          </mc:Fallback>
        </mc:AlternateContent>
      </w:r>
    </w:p>
    <w:p w14:paraId="3E3061E2">
      <w:pPr>
        <w:pStyle w:val="8"/>
        <w:keepNext w:val="0"/>
        <w:keepLines w:val="0"/>
        <w:pageBreakBefore w:val="0"/>
        <w:widowControl w:val="0"/>
        <w:kinsoku/>
        <w:wordWrap/>
        <w:overflowPunct/>
        <w:topLinePunct w:val="0"/>
        <w:autoSpaceDE w:val="0"/>
        <w:autoSpaceDN w:val="0"/>
        <w:bidi w:val="0"/>
        <w:adjustRightInd/>
        <w:snapToGrid/>
        <w:spacing w:before="36" w:line="400" w:lineRule="exact"/>
        <w:ind w:left="118"/>
        <w:jc w:val="both"/>
        <w:textAlignment w:val="auto"/>
        <w:rPr>
          <w:rFonts w:ascii="Times New Roman" w:hAnsi="Times New Roman"/>
          <w:sz w:val="20"/>
          <w:lang w:eastAsia="zh-CN"/>
        </w:rPr>
      </w:pPr>
      <w:r>
        <w:rPr>
          <w:rFonts w:ascii="Times New Roman" w:hAnsi="Times New Roman"/>
          <w:lang w:eastAsia="zh-CN"/>
        </w:rPr>
        <w:t>4、您认为本报告的内容安排和版式设计是否有利于你阅读？</w:t>
      </w:r>
    </w:p>
    <w:p w14:paraId="6A266953">
      <w:pPr>
        <w:pStyle w:val="8"/>
        <w:keepNext w:val="0"/>
        <w:keepLines w:val="0"/>
        <w:pageBreakBefore w:val="0"/>
        <w:widowControl w:val="0"/>
        <w:kinsoku/>
        <w:wordWrap/>
        <w:overflowPunct/>
        <w:topLinePunct w:val="0"/>
        <w:autoSpaceDE w:val="0"/>
        <w:autoSpaceDN w:val="0"/>
        <w:bidi w:val="0"/>
        <w:adjustRightInd/>
        <w:snapToGrid/>
        <w:spacing w:before="7" w:line="400" w:lineRule="exact"/>
        <w:jc w:val="both"/>
        <w:textAlignment w:val="auto"/>
        <w:rPr>
          <w:rFonts w:ascii="Times New Roman" w:hAnsi="Times New Roman"/>
          <w:sz w:val="14"/>
          <w:lang w:eastAsia="zh-CN"/>
        </w:rPr>
      </w:pPr>
      <w:r>
        <w:rPr>
          <w:rFonts w:ascii="Times New Roman" w:hAnsi="Times New Roman"/>
        </w:rPr>
        <mc:AlternateContent>
          <mc:Choice Requires="wps">
            <w:drawing>
              <wp:anchor distT="0" distB="0" distL="114300" distR="114300" simplePos="0" relativeHeight="251665408" behindDoc="0" locked="0" layoutInCell="1" allowOverlap="1">
                <wp:simplePos x="0" y="0"/>
                <wp:positionH relativeFrom="page">
                  <wp:posOffset>901065</wp:posOffset>
                </wp:positionH>
                <wp:positionV relativeFrom="paragraph">
                  <wp:posOffset>182880</wp:posOffset>
                </wp:positionV>
                <wp:extent cx="5467350" cy="0"/>
                <wp:effectExtent l="0" t="4445" r="0" b="5080"/>
                <wp:wrapTopAndBottom/>
                <wp:docPr id="11" name="直接连接符 11"/>
                <wp:cNvGraphicFramePr/>
                <a:graphic xmlns:a="http://schemas.openxmlformats.org/drawingml/2006/main">
                  <a:graphicData uri="http://schemas.microsoft.com/office/word/2010/wordprocessingShape">
                    <wps:wsp>
                      <wps:cNvCnPr/>
                      <wps:spPr>
                        <a:xfrm>
                          <a:off x="0" y="0"/>
                          <a:ext cx="5467350" cy="0"/>
                        </a:xfrm>
                        <a:prstGeom prst="line">
                          <a:avLst/>
                        </a:prstGeom>
                        <a:ln w="7621"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70.95pt;margin-top:14.4pt;height:0pt;width:430.5pt;mso-position-horizontal-relative:page;mso-wrap-distance-bottom:0pt;mso-wrap-distance-top:0pt;z-index:251665408;mso-width-relative:page;mso-height-relative:page;" filled="f" stroked="t" coordsize="21600,21600" o:gfxdata="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NklzezWAAAACgEAAA8AAAAAAAAAAQAgAAAAIgAAAGRycy9kb3ducmV2LnhtbFBLAQIU&#10;ABQAAAAIAIdO4kD0WhE49QEAAOYDAAAOAAAAAAAAAAEAIAAAACUBAABkcnMvZTJvRG9jLnhtbFBL&#10;BQYAAAAABgAGAFkBAACMBQAAAAA=&#10;">
                <v:fill on="f" focussize="0,0"/>
                <v:stroke weight="0.60007874015748pt" color="#000000" joinstyle="round"/>
                <v:imagedata o:title=""/>
                <o:lock v:ext="edit" aspectratio="f"/>
                <w10:wrap type="topAndBottom"/>
              </v:line>
            </w:pict>
          </mc:Fallback>
        </mc:AlternateContent>
      </w:r>
    </w:p>
    <w:p w14:paraId="3EABCE01">
      <w:pPr>
        <w:pStyle w:val="8"/>
        <w:keepNext w:val="0"/>
        <w:keepLines w:val="0"/>
        <w:pageBreakBefore w:val="0"/>
        <w:widowControl w:val="0"/>
        <w:kinsoku/>
        <w:wordWrap/>
        <w:overflowPunct/>
        <w:topLinePunct w:val="0"/>
        <w:autoSpaceDE w:val="0"/>
        <w:autoSpaceDN w:val="0"/>
        <w:bidi w:val="0"/>
        <w:adjustRightInd/>
        <w:snapToGrid/>
        <w:spacing w:before="36" w:line="400" w:lineRule="exact"/>
        <w:ind w:left="118"/>
        <w:jc w:val="both"/>
        <w:textAlignment w:val="auto"/>
        <w:rPr>
          <w:rFonts w:ascii="Times New Roman" w:hAnsi="Times New Roman"/>
          <w:sz w:val="20"/>
          <w:lang w:eastAsia="zh-CN"/>
        </w:rPr>
      </w:pPr>
      <w:r>
        <w:rPr>
          <w:rFonts w:ascii="Times New Roman" w:hAnsi="Times New Roman"/>
          <w:lang w:eastAsia="zh-CN"/>
        </w:rPr>
        <w:t>5、您对</w:t>
      </w:r>
      <w:r>
        <w:rPr>
          <w:rFonts w:hint="eastAsia" w:ascii="Times New Roman" w:hAnsi="Times New Roman"/>
          <w:lang w:val="en-US" w:eastAsia="zh-CN"/>
        </w:rPr>
        <w:t>珠城科技</w:t>
      </w:r>
      <w:r>
        <w:rPr>
          <w:rFonts w:ascii="Times New Roman" w:hAnsi="Times New Roman"/>
          <w:lang w:eastAsia="zh-CN"/>
        </w:rPr>
        <w:t>社会责任工作和本报告的意见与建议，欢迎在此提出：</w:t>
      </w:r>
    </w:p>
    <w:p w14:paraId="5407EDE2">
      <w:pPr>
        <w:pStyle w:val="8"/>
        <w:keepNext w:val="0"/>
        <w:keepLines w:val="0"/>
        <w:pageBreakBefore w:val="0"/>
        <w:widowControl w:val="0"/>
        <w:kinsoku/>
        <w:wordWrap/>
        <w:overflowPunct/>
        <w:topLinePunct w:val="0"/>
        <w:autoSpaceDE w:val="0"/>
        <w:autoSpaceDN w:val="0"/>
        <w:bidi w:val="0"/>
        <w:adjustRightInd/>
        <w:snapToGrid/>
        <w:spacing w:before="7" w:line="400" w:lineRule="exact"/>
        <w:jc w:val="both"/>
        <w:textAlignment w:val="auto"/>
        <w:rPr>
          <w:rFonts w:hint="eastAsia" w:ascii="Times New Roman" w:hAnsi="Times New Roman"/>
          <w:sz w:val="20"/>
          <w:lang w:val="en-US" w:eastAsia="zh-CN"/>
        </w:rPr>
      </w:pPr>
      <w:r>
        <w:rPr>
          <w:rFonts w:ascii="Times New Roman" w:hAnsi="Times New Roman"/>
        </w:rPr>
        <mc:AlternateContent>
          <mc:Choice Requires="wps">
            <w:drawing>
              <wp:anchor distT="0" distB="0" distL="114300" distR="114300" simplePos="0" relativeHeight="251666432" behindDoc="0" locked="0" layoutInCell="1" allowOverlap="1">
                <wp:simplePos x="0" y="0"/>
                <wp:positionH relativeFrom="page">
                  <wp:posOffset>901065</wp:posOffset>
                </wp:positionH>
                <wp:positionV relativeFrom="paragraph">
                  <wp:posOffset>182880</wp:posOffset>
                </wp:positionV>
                <wp:extent cx="5400040" cy="0"/>
                <wp:effectExtent l="0" t="4445" r="0" b="5080"/>
                <wp:wrapTopAndBottom/>
                <wp:docPr id="9" name="直接连接符 9"/>
                <wp:cNvGraphicFramePr/>
                <a:graphic xmlns:a="http://schemas.openxmlformats.org/drawingml/2006/main">
                  <a:graphicData uri="http://schemas.microsoft.com/office/word/2010/wordprocessingShape">
                    <wps:wsp>
                      <wps:cNvCnPr/>
                      <wps:spPr>
                        <a:xfrm>
                          <a:off x="0" y="0"/>
                          <a:ext cx="5400040" cy="0"/>
                        </a:xfrm>
                        <a:prstGeom prst="line">
                          <a:avLst/>
                        </a:prstGeom>
                        <a:ln w="7620"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70.95pt;margin-top:14.4pt;height:0pt;width:425.2pt;mso-position-horizontal-relative:page;mso-wrap-distance-bottom:0pt;mso-wrap-distance-top:0pt;z-index:251666432;mso-width-relative:page;mso-height-relative:page;" filled="f" stroked="t" coordsize="21600,21600" o:gfxdata="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KP+K3DWAAAACQEAAA8AAAAAAAAAAQAgAAAAIgAAAGRycy9kb3ducmV2LnhtbFBLAQIU&#10;ABQAAAAIAIdO4kBkqxxV9QEAAOQDAAAOAAAAAAAAAAEAIAAAACUBAABkcnMvZTJvRG9jLnhtbFBL&#10;BQYAAAAABgAGAFkBAACMBQAAAAA=&#10;">
                <v:fill on="f" focussize="0,0"/>
                <v:stroke weight="0.6pt" color="#000000" joinstyle="round"/>
                <v:imagedata o:title=""/>
                <o:lock v:ext="edit" aspectratio="f"/>
                <w10:wrap type="topAndBottom"/>
              </v:line>
            </w:pict>
          </mc:Fallback>
        </mc:AlternateContent>
      </w:r>
      <w:r>
        <w:rPr>
          <w:rFonts w:hint="eastAsia" w:ascii="Times New Roman" w:hAnsi="Times New Roman"/>
          <w:sz w:val="20"/>
          <w:lang w:val="en-US" w:eastAsia="zh-CN"/>
        </w:rPr>
        <w:t xml:space="preserve">                                                                                  </w:t>
      </w:r>
    </w:p>
    <w:p w14:paraId="7C0B9582">
      <w:pPr>
        <w:pStyle w:val="8"/>
        <w:keepNext w:val="0"/>
        <w:keepLines w:val="0"/>
        <w:pageBreakBefore w:val="0"/>
        <w:widowControl w:val="0"/>
        <w:kinsoku/>
        <w:wordWrap/>
        <w:overflowPunct/>
        <w:topLinePunct w:val="0"/>
        <w:autoSpaceDE w:val="0"/>
        <w:autoSpaceDN w:val="0"/>
        <w:bidi w:val="0"/>
        <w:adjustRightInd/>
        <w:snapToGrid/>
        <w:spacing w:before="7" w:line="360" w:lineRule="exact"/>
        <w:jc w:val="both"/>
        <w:textAlignment w:val="auto"/>
        <w:rPr>
          <w:rFonts w:ascii="Times New Roman" w:hAnsi="Times New Roman"/>
          <w:lang w:eastAsia="zh-CN"/>
        </w:rPr>
      </w:pPr>
      <w:r>
        <w:rPr>
          <w:rFonts w:ascii="Times New Roman" w:hAnsi="Times New Roman"/>
        </w:rPr>
        <mc:AlternateContent>
          <mc:Choice Requires="wps">
            <w:drawing>
              <wp:anchor distT="0" distB="0" distL="114300" distR="114300" simplePos="0" relativeHeight="251667456" behindDoc="0" locked="0" layoutInCell="1" allowOverlap="1">
                <wp:simplePos x="0" y="0"/>
                <wp:positionH relativeFrom="page">
                  <wp:posOffset>901065</wp:posOffset>
                </wp:positionH>
                <wp:positionV relativeFrom="paragraph">
                  <wp:posOffset>158115</wp:posOffset>
                </wp:positionV>
                <wp:extent cx="5400040" cy="0"/>
                <wp:effectExtent l="0" t="4445" r="0" b="5080"/>
                <wp:wrapTopAndBottom/>
                <wp:docPr id="10" name="直接连接符 10"/>
                <wp:cNvGraphicFramePr/>
                <a:graphic xmlns:a="http://schemas.openxmlformats.org/drawingml/2006/main">
                  <a:graphicData uri="http://schemas.microsoft.com/office/word/2010/wordprocessingShape">
                    <wps:wsp>
                      <wps:cNvCnPr/>
                      <wps:spPr>
                        <a:xfrm>
                          <a:off x="0" y="0"/>
                          <a:ext cx="5400040" cy="0"/>
                        </a:xfrm>
                        <a:prstGeom prst="line">
                          <a:avLst/>
                        </a:prstGeom>
                        <a:ln w="7621"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70.95pt;margin-top:12.45pt;height:0pt;width:425.2pt;mso-position-horizontal-relative:page;mso-wrap-distance-bottom:0pt;mso-wrap-distance-top:0pt;z-index:251667456;mso-width-relative:page;mso-height-relative:page;" filled="f" stroked="t" coordsize="21600,21600" o:gfxdata="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D9+qGT2AAAAAkBAAAPAAAAAAAAAAEAIAAAACIAAABkcnMvZG93bnJldi54bWxQSwEC&#10;FAAUAAAACACHTuJAyTKOFvQBAADmAwAADgAAAAAAAAABACAAAAAnAQAAZHJzL2Uyb0RvYy54bWxQ&#10;SwUGAAAAAAYABgBZAQAAjQUAAAAA&#10;">
                <v:fill on="f" focussize="0,0"/>
                <v:stroke weight="0.60007874015748pt" color="#000000" joinstyle="round"/>
                <v:imagedata o:title=""/>
                <o:lock v:ext="edit" aspectratio="f"/>
                <w10:wrap type="topAndBottom"/>
              </v:line>
            </w:pict>
          </mc:Fallback>
        </mc:AlternateContent>
      </w:r>
      <w:r>
        <w:rPr>
          <w:rFonts w:ascii="Times New Roman" w:hAnsi="Times New Roman"/>
          <w:lang w:eastAsia="zh-CN"/>
        </w:rPr>
        <w:t>您的信息</w:t>
      </w:r>
    </w:p>
    <w:p w14:paraId="4B7686B3">
      <w:pPr>
        <w:pStyle w:val="8"/>
        <w:keepNext w:val="0"/>
        <w:keepLines w:val="0"/>
        <w:pageBreakBefore w:val="0"/>
        <w:widowControl w:val="0"/>
        <w:tabs>
          <w:tab w:val="left" w:pos="1169"/>
          <w:tab w:val="left" w:pos="3529"/>
          <w:tab w:val="left" w:pos="8671"/>
        </w:tabs>
        <w:kinsoku/>
        <w:wordWrap/>
        <w:overflowPunct/>
        <w:topLinePunct w:val="0"/>
        <w:autoSpaceDE w:val="0"/>
        <w:autoSpaceDN w:val="0"/>
        <w:bidi w:val="0"/>
        <w:adjustRightInd/>
        <w:snapToGrid/>
        <w:spacing w:line="400" w:lineRule="exact"/>
        <w:ind w:left="538"/>
        <w:jc w:val="both"/>
        <w:textAlignment w:val="auto"/>
        <w:rPr>
          <w:rFonts w:ascii="Times New Roman" w:hAnsi="Times New Roman"/>
          <w:sz w:val="19"/>
          <w:lang w:eastAsia="zh-CN"/>
        </w:rPr>
      </w:pPr>
      <w:r>
        <w:rPr>
          <w:rFonts w:ascii="Times New Roman" w:hAnsi="Times New Roman"/>
          <w:lang w:eastAsia="zh-CN"/>
        </w:rPr>
        <w:t>姓</w:t>
      </w:r>
      <w:r>
        <w:rPr>
          <w:rFonts w:ascii="Times New Roman" w:hAnsi="Times New Roman"/>
          <w:lang w:eastAsia="zh-CN"/>
        </w:rPr>
        <w:tab/>
      </w:r>
      <w:r>
        <w:rPr>
          <w:rFonts w:ascii="Times New Roman" w:hAnsi="Times New Roman"/>
          <w:lang w:eastAsia="zh-CN"/>
        </w:rPr>
        <w:t>名</w:t>
      </w:r>
      <w:r>
        <w:rPr>
          <w:rFonts w:ascii="Times New Roman" w:hAnsi="Times New Roman"/>
          <w:spacing w:val="-3"/>
          <w:lang w:eastAsia="zh-CN"/>
        </w:rPr>
        <w:t>：</w:t>
      </w:r>
      <w:r>
        <w:rPr>
          <w:rFonts w:ascii="Times New Roman" w:hAnsi="Times New Roman"/>
          <w:spacing w:val="-3"/>
          <w:u w:val="single"/>
          <w:lang w:eastAsia="zh-CN"/>
        </w:rPr>
        <w:tab/>
      </w:r>
      <w:r>
        <w:rPr>
          <w:rFonts w:ascii="Times New Roman" w:hAnsi="Times New Roman"/>
          <w:lang w:eastAsia="zh-CN"/>
        </w:rPr>
        <w:t>工</w:t>
      </w:r>
      <w:r>
        <w:rPr>
          <w:rFonts w:ascii="Times New Roman" w:hAnsi="Times New Roman"/>
          <w:spacing w:val="-3"/>
          <w:lang w:eastAsia="zh-CN"/>
        </w:rPr>
        <w:t>作</w:t>
      </w:r>
      <w:r>
        <w:rPr>
          <w:rFonts w:ascii="Times New Roman" w:hAnsi="Times New Roman"/>
          <w:lang w:eastAsia="zh-CN"/>
        </w:rPr>
        <w:t>单</w:t>
      </w:r>
      <w:r>
        <w:rPr>
          <w:rFonts w:ascii="Times New Roman" w:hAnsi="Times New Roman"/>
          <w:spacing w:val="-3"/>
          <w:lang w:eastAsia="zh-CN"/>
        </w:rPr>
        <w:t>位</w:t>
      </w:r>
      <w:r>
        <w:rPr>
          <w:rFonts w:ascii="Times New Roman" w:hAnsi="Times New Roman"/>
          <w:lang w:eastAsia="zh-CN"/>
        </w:rPr>
        <w:t>：</w:t>
      </w:r>
      <w:r>
        <w:rPr>
          <w:rFonts w:ascii="Times New Roman" w:hAnsi="Times New Roman" w:eastAsia="Times New Roman"/>
          <w:u w:val="single"/>
          <w:lang w:eastAsia="zh-CN"/>
        </w:rPr>
        <w:tab/>
      </w:r>
    </w:p>
    <w:p w14:paraId="709DAB2F">
      <w:pPr>
        <w:pStyle w:val="8"/>
        <w:keepNext w:val="0"/>
        <w:keepLines w:val="0"/>
        <w:pageBreakBefore w:val="0"/>
        <w:widowControl w:val="0"/>
        <w:tabs>
          <w:tab w:val="left" w:pos="3529"/>
          <w:tab w:val="left" w:pos="8671"/>
        </w:tabs>
        <w:kinsoku/>
        <w:wordWrap/>
        <w:overflowPunct/>
        <w:topLinePunct w:val="0"/>
        <w:autoSpaceDE w:val="0"/>
        <w:autoSpaceDN w:val="0"/>
        <w:bidi w:val="0"/>
        <w:adjustRightInd/>
        <w:snapToGrid/>
        <w:spacing w:before="43" w:line="400" w:lineRule="exact"/>
        <w:ind w:left="538"/>
        <w:jc w:val="both"/>
        <w:textAlignment w:val="auto"/>
        <w:rPr>
          <w:rFonts w:ascii="Times New Roman" w:hAnsi="Times New Roman"/>
          <w:sz w:val="20"/>
          <w:lang w:eastAsia="zh-CN"/>
        </w:rPr>
      </w:pPr>
      <w:r>
        <w:rPr>
          <w:rFonts w:ascii="Times New Roman" w:hAnsi="Times New Roman"/>
          <w:lang w:eastAsia="zh-CN"/>
        </w:rPr>
        <w:t>联系</w:t>
      </w:r>
      <w:r>
        <w:rPr>
          <w:rFonts w:ascii="Times New Roman" w:hAnsi="Times New Roman"/>
          <w:spacing w:val="-3"/>
          <w:lang w:eastAsia="zh-CN"/>
        </w:rPr>
        <w:t>电</w:t>
      </w:r>
      <w:r>
        <w:rPr>
          <w:rFonts w:ascii="Times New Roman" w:hAnsi="Times New Roman"/>
          <w:lang w:eastAsia="zh-CN"/>
        </w:rPr>
        <w:t>话</w:t>
      </w:r>
      <w:r>
        <w:rPr>
          <w:rFonts w:ascii="Times New Roman" w:hAnsi="Times New Roman"/>
          <w:spacing w:val="-3"/>
          <w:lang w:eastAsia="zh-CN"/>
        </w:rPr>
        <w:t>：</w:t>
      </w:r>
      <w:r>
        <w:rPr>
          <w:rFonts w:ascii="Times New Roman" w:hAnsi="Times New Roman"/>
          <w:spacing w:val="-3"/>
          <w:u w:val="single"/>
          <w:lang w:eastAsia="zh-CN"/>
        </w:rPr>
        <w:tab/>
      </w:r>
      <w:r>
        <w:rPr>
          <w:rFonts w:ascii="Times New Roman" w:hAnsi="Times New Roman"/>
          <w:lang w:eastAsia="zh-CN"/>
        </w:rPr>
        <w:t>电</w:t>
      </w:r>
      <w:r>
        <w:rPr>
          <w:rFonts w:ascii="Times New Roman" w:hAnsi="Times New Roman"/>
          <w:spacing w:val="-3"/>
          <w:lang w:eastAsia="zh-CN"/>
        </w:rPr>
        <w:t>子</w:t>
      </w:r>
      <w:r>
        <w:rPr>
          <w:rFonts w:ascii="Times New Roman" w:hAnsi="Times New Roman"/>
          <w:lang w:eastAsia="zh-CN"/>
        </w:rPr>
        <w:t>邮</w:t>
      </w:r>
      <w:r>
        <w:rPr>
          <w:rFonts w:ascii="Times New Roman" w:hAnsi="Times New Roman"/>
          <w:spacing w:val="-3"/>
          <w:lang w:eastAsia="zh-CN"/>
        </w:rPr>
        <w:t>箱</w:t>
      </w:r>
      <w:r>
        <w:rPr>
          <w:rFonts w:ascii="Times New Roman" w:hAnsi="Times New Roman"/>
          <w:lang w:eastAsia="zh-CN"/>
        </w:rPr>
        <w:t>：</w:t>
      </w:r>
      <w:r>
        <w:rPr>
          <w:rFonts w:ascii="Times New Roman" w:hAnsi="Times New Roman" w:eastAsia="Times New Roman"/>
          <w:u w:val="single"/>
          <w:lang w:eastAsia="zh-CN"/>
        </w:rPr>
        <w:tab/>
      </w:r>
    </w:p>
    <w:p w14:paraId="21CC54FA">
      <w:pPr>
        <w:pStyle w:val="8"/>
        <w:keepNext w:val="0"/>
        <w:keepLines w:val="0"/>
        <w:pageBreakBefore w:val="0"/>
        <w:widowControl w:val="0"/>
        <w:kinsoku/>
        <w:wordWrap/>
        <w:overflowPunct/>
        <w:topLinePunct w:val="0"/>
        <w:autoSpaceDE w:val="0"/>
        <w:autoSpaceDN w:val="0"/>
        <w:bidi w:val="0"/>
        <w:adjustRightInd/>
        <w:snapToGrid/>
        <w:spacing w:before="39" w:line="400" w:lineRule="exact"/>
        <w:ind w:left="118" w:right="113"/>
        <w:jc w:val="both"/>
        <w:textAlignment w:val="auto"/>
        <w:rPr>
          <w:rFonts w:hint="eastAsia" w:ascii="宋体" w:hAnsi="宋体"/>
          <w:color w:val="000000"/>
          <w:sz w:val="24"/>
        </w:rPr>
      </w:pPr>
      <w:r>
        <w:rPr>
          <w:rFonts w:ascii="Times New Roman" w:hAnsi="Times New Roman"/>
          <w:spacing w:val="-2"/>
          <w:lang w:eastAsia="zh-CN"/>
        </w:rPr>
        <w:t>您可以将上表</w:t>
      </w:r>
      <w:r>
        <w:rPr>
          <w:rFonts w:hint="eastAsia" w:ascii="Times New Roman" w:hAnsi="Times New Roman"/>
          <w:spacing w:val="-2"/>
          <w:lang w:val="en-US" w:eastAsia="zh-CN"/>
        </w:rPr>
        <w:t>发送至电子邮箱wq@tehorn.com</w:t>
      </w:r>
      <w:r>
        <w:rPr>
          <w:rFonts w:ascii="Times New Roman" w:hAnsi="Times New Roman"/>
          <w:spacing w:val="-2"/>
          <w:lang w:eastAsia="zh-CN"/>
        </w:rPr>
        <w:t>，或邮寄至浙江省温州市龙湾区空港新区金海一道898号，邮编：325</w:t>
      </w:r>
      <w:r>
        <w:rPr>
          <w:rFonts w:hint="eastAsia" w:ascii="Times New Roman" w:hAnsi="Times New Roman"/>
          <w:spacing w:val="-2"/>
          <w:lang w:val="en-US" w:eastAsia="zh-CN"/>
        </w:rPr>
        <w:t>025</w:t>
      </w:r>
      <w:r>
        <w:rPr>
          <w:rFonts w:ascii="Times New Roman" w:hAnsi="Times New Roman"/>
          <w:spacing w:val="-2"/>
          <w:lang w:eastAsia="zh-CN"/>
        </w:rPr>
        <w:t>。我们承诺将认真对待您的意见与建议，并承诺妥善保护您的上述信息不被第三方获取。</w:t>
      </w:r>
    </w:p>
    <w:sectPr>
      <w:headerReference r:id="rId6" w:type="default"/>
      <w:footerReference r:id="rId7" w:type="default"/>
      <w:footerReference r:id="rId8" w:type="even"/>
      <w:pgSz w:w="11906" w:h="16838"/>
      <w:pgMar w:top="1440" w:right="1286" w:bottom="1440" w:left="1440" w:header="851" w:footer="992" w:gutter="0"/>
      <w:pgBorders w:offsetFrom="page">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monospace">
    <w:altName w:val="Times New Roman"/>
    <w:panose1 w:val="00000000000000000000"/>
    <w:charset w:val="00"/>
    <w:family w:val="auto"/>
    <w:pitch w:val="default"/>
    <w:sig w:usb0="00000000" w:usb1="00000000" w:usb2="00000000" w:usb3="00000000" w:csb0="00000001"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718F4A">
    <w:pPr>
      <w:pStyle w:val="8"/>
      <w:spacing w:line="14" w:lineRule="auto"/>
      <w:rPr>
        <w:sz w:val="20"/>
      </w:rPr>
    </w:pPr>
    <w:r>
      <mc:AlternateContent>
        <mc:Choice Requires="wps">
          <w:drawing>
            <wp:anchor distT="0" distB="0" distL="114300" distR="114300" simplePos="0" relativeHeight="251659264" behindDoc="1" locked="0" layoutInCell="1" allowOverlap="1">
              <wp:simplePos x="0" y="0"/>
              <wp:positionH relativeFrom="page">
                <wp:posOffset>6572250</wp:posOffset>
              </wp:positionH>
              <wp:positionV relativeFrom="page">
                <wp:posOffset>9920605</wp:posOffset>
              </wp:positionV>
              <wp:extent cx="101600" cy="152400"/>
              <wp:effectExtent l="0" t="0" r="0" b="0"/>
              <wp:wrapNone/>
              <wp:docPr id="5" name="文本框 2"/>
              <wp:cNvGraphicFramePr/>
              <a:graphic xmlns:a="http://schemas.openxmlformats.org/drawingml/2006/main">
                <a:graphicData uri="http://schemas.microsoft.com/office/word/2010/wordprocessingShape">
                  <wps:wsp>
                    <wps:cNvSpPr txBox="1"/>
                    <wps:spPr>
                      <a:xfrm>
                        <a:off x="0" y="0"/>
                        <a:ext cx="101600" cy="152400"/>
                      </a:xfrm>
                      <a:prstGeom prst="rect">
                        <a:avLst/>
                      </a:prstGeom>
                      <a:noFill/>
                      <a:ln>
                        <a:noFill/>
                      </a:ln>
                    </wps:spPr>
                    <wps:txbx>
                      <w:txbxContent>
                        <w:p w14:paraId="24A18E75">
                          <w:pPr>
                            <w:spacing w:before="12"/>
                            <w:ind w:left="20" w:right="0" w:firstLine="0"/>
                            <w:jc w:val="left"/>
                            <w:rPr>
                              <w:rFonts w:ascii="Times New Roman"/>
                              <w:sz w:val="18"/>
                            </w:rPr>
                          </w:pPr>
                          <w:r>
                            <w:rPr>
                              <w:rFonts w:ascii="Times New Roman"/>
                              <w:sz w:val="18"/>
                            </w:rPr>
                            <w:t>II</w:t>
                          </w:r>
                        </w:p>
                      </w:txbxContent>
                    </wps:txbx>
                    <wps:bodyPr wrap="square" lIns="0" tIns="0" rIns="0" bIns="0" upright="1"/>
                  </wps:wsp>
                </a:graphicData>
              </a:graphic>
            </wp:anchor>
          </w:drawing>
        </mc:Choice>
        <mc:Fallback>
          <w:pict>
            <v:shape id="文本框 2" o:spid="_x0000_s1026" o:spt="202" type="#_x0000_t202" style="position:absolute;left:0pt;margin-left:517.5pt;margin-top:781.15pt;height:12pt;width:8pt;mso-position-horizontal-relative:page;mso-position-vertical-relative:page;z-index:-251657216;mso-width-relative:page;mso-height-relative:page;" filled="f" stroked="f" coordsize="21600,21600" o:gfxdata="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NMoEWPZAAAADwEAAA8AAAAAAAAAAQAgAAAAIgAAAGRycy9kb3ducmV2&#10;LnhtbFBLAQIUABQAAAAIAIdO4kDz+YkGwgEAAH8DAAAOAAAAAAAAAAEAIAAAACgBAABkcnMvZTJv&#10;RG9jLnhtbFBLBQYAAAAABgAGAFkBAABcBQAAAAA=&#10;">
              <v:fill on="f" focussize="0,0"/>
              <v:stroke on="f"/>
              <v:imagedata o:title=""/>
              <o:lock v:ext="edit" aspectratio="f"/>
              <v:textbox inset="0mm,0mm,0mm,0mm">
                <w:txbxContent>
                  <w:p w14:paraId="24A18E75">
                    <w:pPr>
                      <w:spacing w:before="12"/>
                      <w:ind w:left="20" w:right="0" w:firstLine="0"/>
                      <w:jc w:val="left"/>
                      <w:rPr>
                        <w:rFonts w:ascii="Times New Roman"/>
                        <w:sz w:val="18"/>
                      </w:rPr>
                    </w:pPr>
                    <w:r>
                      <w:rPr>
                        <w:rFonts w:ascii="Times New Roman"/>
                        <w:sz w:val="18"/>
                      </w:rPr>
                      <w:t>II</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21137A">
    <w:pPr>
      <w:pStyle w:val="11"/>
      <w:framePr w:wrap="around" w:vAnchor="text" w:hAnchor="margin" w:xAlign="right" w:y="1"/>
      <w:rPr>
        <w:rStyle w:val="17"/>
      </w:rPr>
    </w:pPr>
    <w:r>
      <w:fldChar w:fldCharType="begin"/>
    </w:r>
    <w:r>
      <w:rPr>
        <w:rStyle w:val="17"/>
      </w:rPr>
      <w:instrText xml:space="preserve">PAGE  </w:instrText>
    </w:r>
    <w:r>
      <w:fldChar w:fldCharType="separate"/>
    </w:r>
    <w:r>
      <w:rPr>
        <w:rStyle w:val="17"/>
      </w:rPr>
      <w:t>4</w:t>
    </w:r>
    <w:r>
      <w:fldChar w:fldCharType="end"/>
    </w:r>
  </w:p>
  <w:p w14:paraId="0D307B5F">
    <w:pPr>
      <w:pStyle w:val="11"/>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F70C52">
    <w:pPr>
      <w:pStyle w:val="11"/>
      <w:framePr w:wrap="around" w:vAnchor="text" w:hAnchor="margin" w:xAlign="right" w:y="1"/>
      <w:rPr>
        <w:rStyle w:val="17"/>
      </w:rPr>
    </w:pPr>
    <w:r>
      <w:fldChar w:fldCharType="begin"/>
    </w:r>
    <w:r>
      <w:rPr>
        <w:rStyle w:val="17"/>
      </w:rPr>
      <w:instrText xml:space="preserve">PAGE  </w:instrText>
    </w:r>
    <w:r>
      <w:fldChar w:fldCharType="end"/>
    </w:r>
  </w:p>
  <w:p w14:paraId="1755015F">
    <w:pPr>
      <w:pStyle w:val="11"/>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2EA142">
    <w:pPr>
      <w:pStyle w:val="11"/>
      <w:ind w:right="36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A8D6679">
                          <w:pPr>
                            <w:pStyle w:val="11"/>
                            <w:rPr>
                              <w:rStyle w:val="17"/>
                            </w:rPr>
                          </w:pPr>
                          <w:r>
                            <w:fldChar w:fldCharType="begin"/>
                          </w:r>
                          <w:r>
                            <w:rPr>
                              <w:rStyle w:val="17"/>
                            </w:rPr>
                            <w:instrText xml:space="preserve">PAGE  </w:instrText>
                          </w:r>
                          <w:r>
                            <w:fldChar w:fldCharType="separate"/>
                          </w:r>
                          <w:r>
                            <w:rPr>
                              <w:rStyle w:val="17"/>
                            </w:rPr>
                            <w:t>13</w:t>
                          </w:r>
                          <w:r>
                            <w:fldChar w:fldCharType="end"/>
                          </w:r>
                        </w:p>
                      </w:txbxContent>
                    </wps:txbx>
                    <wps:bodyPr wrap="none" lIns="0" tIns="0" rIns="0" bIns="0" upright="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2dPQ/IAQAAmQMAAA4AAAAAAAAAAQAgAAAAHgEAAGRycy9lMm9Eb2Mu&#10;eG1sUEsFBgAAAAAGAAYAWQEAAFgFAAAAAA==&#10;">
              <v:fill on="f" focussize="0,0"/>
              <v:stroke on="f"/>
              <v:imagedata o:title=""/>
              <o:lock v:ext="edit" aspectratio="f"/>
              <v:textbox inset="0mm,0mm,0mm,0mm" style="mso-fit-shape-to-text:t;">
                <w:txbxContent>
                  <w:p w14:paraId="5A8D6679">
                    <w:pPr>
                      <w:pStyle w:val="11"/>
                      <w:rPr>
                        <w:rStyle w:val="17"/>
                      </w:rPr>
                    </w:pPr>
                    <w:r>
                      <w:fldChar w:fldCharType="begin"/>
                    </w:r>
                    <w:r>
                      <w:rPr>
                        <w:rStyle w:val="17"/>
                      </w:rPr>
                      <w:instrText xml:space="preserve">PAGE  </w:instrText>
                    </w:r>
                    <w:r>
                      <w:fldChar w:fldCharType="separate"/>
                    </w:r>
                    <w:r>
                      <w:rPr>
                        <w:rStyle w:val="17"/>
                      </w:rPr>
                      <w:t>13</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0EC509">
    <w:pPr>
      <w:pStyle w:val="11"/>
      <w:framePr w:wrap="around" w:vAnchor="text" w:hAnchor="margin" w:xAlign="right" w:y="1"/>
      <w:rPr>
        <w:rStyle w:val="17"/>
      </w:rPr>
    </w:pPr>
    <w:r>
      <w:fldChar w:fldCharType="begin"/>
    </w:r>
    <w:r>
      <w:rPr>
        <w:rStyle w:val="17"/>
      </w:rPr>
      <w:instrText xml:space="preserve">PAGE  </w:instrText>
    </w:r>
    <w:r>
      <w:fldChar w:fldCharType="end"/>
    </w:r>
  </w:p>
  <w:p w14:paraId="4ED62DC5">
    <w:pPr>
      <w:pStyle w:val="11"/>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CA55DF">
    <w:pPr>
      <w:pStyle w:val="12"/>
      <w:jc w:val="both"/>
    </w:pPr>
    <w:r>
      <w:drawing>
        <wp:inline distT="0" distB="0" distL="114300" distR="114300">
          <wp:extent cx="959485" cy="335915"/>
          <wp:effectExtent l="0" t="0" r="12065" b="6985"/>
          <wp:docPr id="7" name="图片 8" descr="e2b1e46b7a7737053cf77f2786308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8" descr="e2b1e46b7a7737053cf77f2786308d3"/>
                  <pic:cNvPicPr>
                    <a:picLocks noChangeAspect="1"/>
                  </pic:cNvPicPr>
                </pic:nvPicPr>
                <pic:blipFill>
                  <a:blip r:embed="rId1"/>
                  <a:stretch>
                    <a:fillRect/>
                  </a:stretch>
                </pic:blipFill>
                <pic:spPr>
                  <a:xfrm>
                    <a:off x="0" y="0"/>
                    <a:ext cx="959485" cy="33591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9D6B68"/>
    <w:multiLevelType w:val="multilevel"/>
    <w:tmpl w:val="059D6B68"/>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1FC91163"/>
    <w:multiLevelType w:val="multilevel"/>
    <w:tmpl w:val="1FC91163"/>
    <w:lvl w:ilvl="0" w:tentative="0">
      <w:start w:val="1"/>
      <w:numFmt w:val="decimal"/>
      <w:pStyle w:val="45"/>
      <w:suff w:val="nothing"/>
      <w:lvlText w:val="%1　"/>
      <w:lvlJc w:val="left"/>
      <w:rPr>
        <w:rFonts w:hint="eastAsia" w:ascii="黑体" w:hAnsi="Times New Roman" w:eastAsia="黑体" w:cs="Times New Roman"/>
        <w:b/>
        <w:i w:val="0"/>
        <w:sz w:val="21"/>
        <w:szCs w:val="21"/>
      </w:rPr>
    </w:lvl>
    <w:lvl w:ilvl="1" w:tentative="0">
      <w:start w:val="1"/>
      <w:numFmt w:val="decimal"/>
      <w:suff w:val="nothing"/>
      <w:lvlText w:val="%1.%2　"/>
      <w:lvlJc w:val="left"/>
      <w:pPr>
        <w:ind w:left="630"/>
      </w:pPr>
      <w:rPr>
        <w:rFonts w:hint="eastAsia" w:ascii="黑体" w:hAnsi="Times New Roman" w:eastAsia="黑体" w:cs="Times New Roman"/>
        <w:b w:val="0"/>
        <w:bCs w:val="0"/>
        <w:i w:val="0"/>
        <w:iCs w:val="0"/>
        <w:caps w:val="0"/>
        <w:strike w:val="0"/>
        <w:dstrike w:val="0"/>
        <w:color w:val="000000"/>
        <w:spacing w:val="0"/>
        <w:kern w:val="0"/>
        <w:position w:val="0"/>
        <w:sz w:val="21"/>
        <w:szCs w:val="21"/>
        <w:u w:val="none"/>
      </w:rPr>
    </w:lvl>
    <w:lvl w:ilvl="2" w:tentative="0">
      <w:start w:val="1"/>
      <w:numFmt w:val="decimal"/>
      <w:suff w:val="nothing"/>
      <w:lvlText w:val="%1.%2.%3　"/>
      <w:lvlJc w:val="left"/>
      <w:pPr>
        <w:ind w:left="993"/>
      </w:pPr>
      <w:rPr>
        <w:rFonts w:hint="eastAsia" w:ascii="黑体" w:hAnsi="Times New Roman" w:eastAsia="黑体" w:cs="Times New Roman"/>
        <w:b w:val="0"/>
        <w:i w:val="0"/>
        <w:sz w:val="21"/>
      </w:rPr>
    </w:lvl>
    <w:lvl w:ilvl="3" w:tentative="0">
      <w:start w:val="1"/>
      <w:numFmt w:val="decimal"/>
      <w:suff w:val="nothing"/>
      <w:lvlText w:val="%1.%2.%3.%4　"/>
      <w:lvlJc w:val="left"/>
      <w:pPr>
        <w:ind w:left="630"/>
      </w:pPr>
      <w:rPr>
        <w:rFonts w:hint="eastAsia" w:ascii="黑体" w:hAnsi="Times New Roman" w:eastAsia="黑体" w:cs="Times New Roman"/>
        <w:b w:val="0"/>
        <w:i w:val="0"/>
        <w:sz w:val="21"/>
      </w:rPr>
    </w:lvl>
    <w:lvl w:ilvl="4" w:tentative="0">
      <w:start w:val="1"/>
      <w:numFmt w:val="decimal"/>
      <w:suff w:val="nothing"/>
      <w:lvlText w:val="%1.%2.%3.%4.%5　"/>
      <w:lvlJc w:val="left"/>
      <w:rPr>
        <w:rFonts w:hint="eastAsia" w:ascii="黑体" w:hAnsi="Times New Roman" w:eastAsia="黑体" w:cs="Times New Roman"/>
        <w:b w:val="0"/>
        <w:i w:val="0"/>
        <w:sz w:val="21"/>
      </w:rPr>
    </w:lvl>
    <w:lvl w:ilvl="5" w:tentative="0">
      <w:start w:val="1"/>
      <w:numFmt w:val="decimal"/>
      <w:suff w:val="nothing"/>
      <w:lvlText w:val="%1.%2.%3.%4.%5.%6　"/>
      <w:lvlJc w:val="left"/>
      <w:rPr>
        <w:rFonts w:hint="eastAsia" w:ascii="黑体" w:hAnsi="Times New Roman" w:eastAsia="黑体" w:cs="Times New Roman"/>
        <w:b w:val="0"/>
        <w:i w:val="0"/>
        <w:sz w:val="21"/>
      </w:rPr>
    </w:lvl>
    <w:lvl w:ilvl="6" w:tentative="0">
      <w:start w:val="1"/>
      <w:numFmt w:val="decimal"/>
      <w:suff w:val="nothing"/>
      <w:lvlText w:val="%1%2.%3.%4.%5.%6.%7　"/>
      <w:lvlJc w:val="left"/>
      <w:rPr>
        <w:rFonts w:hint="eastAsia" w:ascii="黑体" w:hAnsi="Times New Roman" w:eastAsia="黑体" w:cs="Times New Roman"/>
        <w:b w:val="0"/>
        <w:i w:val="0"/>
        <w:sz w:val="21"/>
      </w:rPr>
    </w:lvl>
    <w:lvl w:ilvl="7" w:tentative="0">
      <w:start w:val="1"/>
      <w:numFmt w:val="decimal"/>
      <w:lvlText w:val="%1.%2.%3.%4.%5.%6.%7.%8"/>
      <w:lvlJc w:val="left"/>
      <w:pPr>
        <w:tabs>
          <w:tab w:val="left" w:pos="4351"/>
        </w:tabs>
        <w:ind w:left="3969" w:hanging="1418"/>
      </w:pPr>
      <w:rPr>
        <w:rFonts w:hint="eastAsia" w:cs="Times New Roman"/>
      </w:rPr>
    </w:lvl>
    <w:lvl w:ilvl="8" w:tentative="0">
      <w:start w:val="1"/>
      <w:numFmt w:val="decimal"/>
      <w:lvlText w:val="%1.%2.%3.%4.%5.%6.%7.%8.%9"/>
      <w:lvlJc w:val="left"/>
      <w:pPr>
        <w:tabs>
          <w:tab w:val="left" w:pos="4777"/>
        </w:tabs>
        <w:ind w:left="4677" w:hanging="1700"/>
      </w:pPr>
      <w:rPr>
        <w:rFonts w:hint="eastAsia" w:cs="Times New Roman"/>
      </w:rPr>
    </w:lvl>
  </w:abstractNum>
  <w:abstractNum w:abstractNumId="2">
    <w:nsid w:val="257EAA35"/>
    <w:multiLevelType w:val="singleLevel"/>
    <w:tmpl w:val="257EAA35"/>
    <w:lvl w:ilvl="0" w:tentative="0">
      <w:start w:val="1"/>
      <w:numFmt w:val="decimal"/>
      <w:lvlText w:val="%1."/>
      <w:lvlJc w:val="left"/>
      <w:pPr>
        <w:ind w:left="425" w:hanging="425"/>
      </w:pPr>
      <w:rPr>
        <w:rFonts w:hint="default"/>
      </w:rPr>
    </w:lvl>
  </w:abstractNum>
  <w:abstractNum w:abstractNumId="3">
    <w:nsid w:val="29D57CE8"/>
    <w:multiLevelType w:val="multilevel"/>
    <w:tmpl w:val="29D57CE8"/>
    <w:lvl w:ilvl="0" w:tentative="0">
      <w:start w:val="1"/>
      <w:numFmt w:val="decimal"/>
      <w:lvlText w:val="%1、"/>
      <w:lvlJc w:val="left"/>
      <w:pPr>
        <w:ind w:left="375" w:hanging="375"/>
      </w:pPr>
      <w:rPr>
        <w:rFonts w:hint="default"/>
        <w:b/>
      </w:rPr>
    </w:lvl>
    <w:lvl w:ilvl="1" w:tentative="0">
      <w:start w:val="1"/>
      <w:numFmt w:val="decimal"/>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7784"/>
    <w:rsid w:val="00017F4B"/>
    <w:rsid w:val="00063A41"/>
    <w:rsid w:val="00066D9F"/>
    <w:rsid w:val="00073811"/>
    <w:rsid w:val="00076BF4"/>
    <w:rsid w:val="00087366"/>
    <w:rsid w:val="000A34CC"/>
    <w:rsid w:val="000C7784"/>
    <w:rsid w:val="000F0428"/>
    <w:rsid w:val="00101D51"/>
    <w:rsid w:val="00124682"/>
    <w:rsid w:val="001257CA"/>
    <w:rsid w:val="00164A54"/>
    <w:rsid w:val="001702BE"/>
    <w:rsid w:val="00172478"/>
    <w:rsid w:val="00190980"/>
    <w:rsid w:val="00195DD9"/>
    <w:rsid w:val="001E305E"/>
    <w:rsid w:val="001F59BA"/>
    <w:rsid w:val="00210319"/>
    <w:rsid w:val="002C3B66"/>
    <w:rsid w:val="002C674B"/>
    <w:rsid w:val="002F1130"/>
    <w:rsid w:val="002F7703"/>
    <w:rsid w:val="00337C44"/>
    <w:rsid w:val="00351CD0"/>
    <w:rsid w:val="00365156"/>
    <w:rsid w:val="0037099D"/>
    <w:rsid w:val="00374A92"/>
    <w:rsid w:val="003C439F"/>
    <w:rsid w:val="003F0863"/>
    <w:rsid w:val="003F6F82"/>
    <w:rsid w:val="003F754E"/>
    <w:rsid w:val="00403A1B"/>
    <w:rsid w:val="00425CC4"/>
    <w:rsid w:val="004401F2"/>
    <w:rsid w:val="00455563"/>
    <w:rsid w:val="0045564E"/>
    <w:rsid w:val="00480054"/>
    <w:rsid w:val="00486DA7"/>
    <w:rsid w:val="004C7EF4"/>
    <w:rsid w:val="00510ECA"/>
    <w:rsid w:val="00545184"/>
    <w:rsid w:val="00560A6D"/>
    <w:rsid w:val="005A4133"/>
    <w:rsid w:val="005B271D"/>
    <w:rsid w:val="005E2547"/>
    <w:rsid w:val="005F1B4E"/>
    <w:rsid w:val="005F6D33"/>
    <w:rsid w:val="00623B69"/>
    <w:rsid w:val="00636B75"/>
    <w:rsid w:val="0064621E"/>
    <w:rsid w:val="006710D2"/>
    <w:rsid w:val="00685F78"/>
    <w:rsid w:val="006E05BE"/>
    <w:rsid w:val="006F3274"/>
    <w:rsid w:val="00713E9D"/>
    <w:rsid w:val="00760D3C"/>
    <w:rsid w:val="007D39AD"/>
    <w:rsid w:val="007D5792"/>
    <w:rsid w:val="007E305C"/>
    <w:rsid w:val="00813A74"/>
    <w:rsid w:val="008179CD"/>
    <w:rsid w:val="00824751"/>
    <w:rsid w:val="00827237"/>
    <w:rsid w:val="00834990"/>
    <w:rsid w:val="00846CCD"/>
    <w:rsid w:val="008505C1"/>
    <w:rsid w:val="0086767B"/>
    <w:rsid w:val="008B0D89"/>
    <w:rsid w:val="008C6685"/>
    <w:rsid w:val="008C7981"/>
    <w:rsid w:val="00900BD6"/>
    <w:rsid w:val="009401B9"/>
    <w:rsid w:val="009626C5"/>
    <w:rsid w:val="009671A1"/>
    <w:rsid w:val="0098266D"/>
    <w:rsid w:val="009B24EA"/>
    <w:rsid w:val="009C0598"/>
    <w:rsid w:val="009F326F"/>
    <w:rsid w:val="00A230EA"/>
    <w:rsid w:val="00A2523A"/>
    <w:rsid w:val="00A41D48"/>
    <w:rsid w:val="00A44140"/>
    <w:rsid w:val="00A4495B"/>
    <w:rsid w:val="00A7348C"/>
    <w:rsid w:val="00A74AD6"/>
    <w:rsid w:val="00AA1999"/>
    <w:rsid w:val="00AC5EE3"/>
    <w:rsid w:val="00AC7817"/>
    <w:rsid w:val="00AE06CD"/>
    <w:rsid w:val="00AF53BD"/>
    <w:rsid w:val="00AF5BF3"/>
    <w:rsid w:val="00B11B63"/>
    <w:rsid w:val="00B2381A"/>
    <w:rsid w:val="00B31906"/>
    <w:rsid w:val="00B52C6E"/>
    <w:rsid w:val="00B534E9"/>
    <w:rsid w:val="00BE4A2E"/>
    <w:rsid w:val="00C06331"/>
    <w:rsid w:val="00C10F45"/>
    <w:rsid w:val="00C17D4E"/>
    <w:rsid w:val="00C23E0F"/>
    <w:rsid w:val="00C25DF7"/>
    <w:rsid w:val="00C7180F"/>
    <w:rsid w:val="00C83F8A"/>
    <w:rsid w:val="00C972F6"/>
    <w:rsid w:val="00CA2290"/>
    <w:rsid w:val="00CA51A8"/>
    <w:rsid w:val="00CA561A"/>
    <w:rsid w:val="00CC2D47"/>
    <w:rsid w:val="00CD7BC1"/>
    <w:rsid w:val="00D1016E"/>
    <w:rsid w:val="00D334E2"/>
    <w:rsid w:val="00D56F30"/>
    <w:rsid w:val="00D65B1C"/>
    <w:rsid w:val="00D82537"/>
    <w:rsid w:val="00DC7058"/>
    <w:rsid w:val="00DE0C57"/>
    <w:rsid w:val="00E03EBF"/>
    <w:rsid w:val="00E0565A"/>
    <w:rsid w:val="00E7660F"/>
    <w:rsid w:val="00EB159D"/>
    <w:rsid w:val="00F0154E"/>
    <w:rsid w:val="00F37E6C"/>
    <w:rsid w:val="00F61E06"/>
    <w:rsid w:val="00F73FCF"/>
    <w:rsid w:val="00F94BBF"/>
    <w:rsid w:val="00FB1714"/>
    <w:rsid w:val="00FB26B0"/>
    <w:rsid w:val="00FC1521"/>
    <w:rsid w:val="00FC1ECF"/>
    <w:rsid w:val="00FF4D7F"/>
    <w:rsid w:val="020F6402"/>
    <w:rsid w:val="02BF4537"/>
    <w:rsid w:val="03435D32"/>
    <w:rsid w:val="035E001E"/>
    <w:rsid w:val="03B25314"/>
    <w:rsid w:val="03FC4D34"/>
    <w:rsid w:val="0451447E"/>
    <w:rsid w:val="047A5E2F"/>
    <w:rsid w:val="04E26F71"/>
    <w:rsid w:val="050416BB"/>
    <w:rsid w:val="054162A1"/>
    <w:rsid w:val="056578E5"/>
    <w:rsid w:val="05FB0B46"/>
    <w:rsid w:val="066F6E3E"/>
    <w:rsid w:val="07F05211"/>
    <w:rsid w:val="08AA23AF"/>
    <w:rsid w:val="08C07E24"/>
    <w:rsid w:val="09075A6D"/>
    <w:rsid w:val="09480908"/>
    <w:rsid w:val="0963712E"/>
    <w:rsid w:val="09792C88"/>
    <w:rsid w:val="09861CF4"/>
    <w:rsid w:val="0A0409DD"/>
    <w:rsid w:val="0A272A60"/>
    <w:rsid w:val="0AEB1705"/>
    <w:rsid w:val="0B3626D0"/>
    <w:rsid w:val="0B84338B"/>
    <w:rsid w:val="0B8E5FB8"/>
    <w:rsid w:val="0BBA6DAD"/>
    <w:rsid w:val="0C2C6683"/>
    <w:rsid w:val="0C3628D7"/>
    <w:rsid w:val="0C68591A"/>
    <w:rsid w:val="0CA44101"/>
    <w:rsid w:val="0D093B48"/>
    <w:rsid w:val="0DDA54E4"/>
    <w:rsid w:val="0DDE6B31"/>
    <w:rsid w:val="0DE3083D"/>
    <w:rsid w:val="0E914C07"/>
    <w:rsid w:val="0EB92301"/>
    <w:rsid w:val="0F2972C2"/>
    <w:rsid w:val="0FF860F6"/>
    <w:rsid w:val="102C6095"/>
    <w:rsid w:val="10B71B0D"/>
    <w:rsid w:val="111809A6"/>
    <w:rsid w:val="11C6025A"/>
    <w:rsid w:val="11E0373D"/>
    <w:rsid w:val="127B0496"/>
    <w:rsid w:val="13014C73"/>
    <w:rsid w:val="13413D64"/>
    <w:rsid w:val="13BA0AF5"/>
    <w:rsid w:val="13EB21F9"/>
    <w:rsid w:val="14812FA4"/>
    <w:rsid w:val="14AE7C54"/>
    <w:rsid w:val="14B7032D"/>
    <w:rsid w:val="14B95E54"/>
    <w:rsid w:val="14CB5B87"/>
    <w:rsid w:val="14FE7D0A"/>
    <w:rsid w:val="15681628"/>
    <w:rsid w:val="159213D5"/>
    <w:rsid w:val="15B17473"/>
    <w:rsid w:val="165E0A8D"/>
    <w:rsid w:val="16DA1D6E"/>
    <w:rsid w:val="17547976"/>
    <w:rsid w:val="17B1287C"/>
    <w:rsid w:val="18AD2173"/>
    <w:rsid w:val="18DC0363"/>
    <w:rsid w:val="18F7519C"/>
    <w:rsid w:val="1910616C"/>
    <w:rsid w:val="191627ED"/>
    <w:rsid w:val="19394701"/>
    <w:rsid w:val="19610CCE"/>
    <w:rsid w:val="19D07A4C"/>
    <w:rsid w:val="1AC03F0D"/>
    <w:rsid w:val="1BC3580A"/>
    <w:rsid w:val="1BD417C5"/>
    <w:rsid w:val="1BF1535E"/>
    <w:rsid w:val="1C69015F"/>
    <w:rsid w:val="1C8C3F3A"/>
    <w:rsid w:val="1CD3253C"/>
    <w:rsid w:val="1CE26164"/>
    <w:rsid w:val="1D2D58BB"/>
    <w:rsid w:val="1D5E0A5B"/>
    <w:rsid w:val="1E0B76C7"/>
    <w:rsid w:val="1E193553"/>
    <w:rsid w:val="1EA25928"/>
    <w:rsid w:val="1F010B23"/>
    <w:rsid w:val="1F073074"/>
    <w:rsid w:val="1F367C9A"/>
    <w:rsid w:val="21026DD4"/>
    <w:rsid w:val="2219440B"/>
    <w:rsid w:val="230A6388"/>
    <w:rsid w:val="236607AB"/>
    <w:rsid w:val="23F173A1"/>
    <w:rsid w:val="24967F5F"/>
    <w:rsid w:val="24B85237"/>
    <w:rsid w:val="24CF0B7F"/>
    <w:rsid w:val="256A696C"/>
    <w:rsid w:val="25C53D36"/>
    <w:rsid w:val="263804FE"/>
    <w:rsid w:val="26B443BF"/>
    <w:rsid w:val="26C86DBF"/>
    <w:rsid w:val="26D44C8B"/>
    <w:rsid w:val="26E30207"/>
    <w:rsid w:val="27B568CC"/>
    <w:rsid w:val="27C9064C"/>
    <w:rsid w:val="27F41D78"/>
    <w:rsid w:val="285223EF"/>
    <w:rsid w:val="28BB6F02"/>
    <w:rsid w:val="28EA6ACC"/>
    <w:rsid w:val="292D0766"/>
    <w:rsid w:val="298A273C"/>
    <w:rsid w:val="29A049F3"/>
    <w:rsid w:val="29CC0414"/>
    <w:rsid w:val="2A3C1140"/>
    <w:rsid w:val="2C205BBC"/>
    <w:rsid w:val="2CAD22EA"/>
    <w:rsid w:val="2CCB2770"/>
    <w:rsid w:val="2D287DD1"/>
    <w:rsid w:val="2D517119"/>
    <w:rsid w:val="2D593D65"/>
    <w:rsid w:val="2E253102"/>
    <w:rsid w:val="2E607749"/>
    <w:rsid w:val="2EE87609"/>
    <w:rsid w:val="2EEC07D0"/>
    <w:rsid w:val="2F83102A"/>
    <w:rsid w:val="30134B5A"/>
    <w:rsid w:val="3093239F"/>
    <w:rsid w:val="30934B9D"/>
    <w:rsid w:val="30CE282F"/>
    <w:rsid w:val="30F207FB"/>
    <w:rsid w:val="311D3DF9"/>
    <w:rsid w:val="31422F73"/>
    <w:rsid w:val="3163566D"/>
    <w:rsid w:val="31BE79F2"/>
    <w:rsid w:val="31F167D5"/>
    <w:rsid w:val="323A78BF"/>
    <w:rsid w:val="32B55A55"/>
    <w:rsid w:val="32CC0E76"/>
    <w:rsid w:val="32F34367"/>
    <w:rsid w:val="33015626"/>
    <w:rsid w:val="33036A7A"/>
    <w:rsid w:val="330E785B"/>
    <w:rsid w:val="330F0E61"/>
    <w:rsid w:val="331C3D26"/>
    <w:rsid w:val="33FB7DDF"/>
    <w:rsid w:val="342C3837"/>
    <w:rsid w:val="342C48E3"/>
    <w:rsid w:val="35741AA6"/>
    <w:rsid w:val="357E5975"/>
    <w:rsid w:val="35F92B54"/>
    <w:rsid w:val="36024527"/>
    <w:rsid w:val="361D3F2A"/>
    <w:rsid w:val="368D0631"/>
    <w:rsid w:val="36A83CED"/>
    <w:rsid w:val="37166CDE"/>
    <w:rsid w:val="372E4027"/>
    <w:rsid w:val="374D5BBE"/>
    <w:rsid w:val="380906D8"/>
    <w:rsid w:val="382B0567"/>
    <w:rsid w:val="38F65019"/>
    <w:rsid w:val="393956FD"/>
    <w:rsid w:val="397F21DD"/>
    <w:rsid w:val="39C26C60"/>
    <w:rsid w:val="39ED5255"/>
    <w:rsid w:val="3A2D05C6"/>
    <w:rsid w:val="3B23754C"/>
    <w:rsid w:val="3B9D352A"/>
    <w:rsid w:val="3C242767"/>
    <w:rsid w:val="3C851FC5"/>
    <w:rsid w:val="3CEB2B7E"/>
    <w:rsid w:val="3CEC2065"/>
    <w:rsid w:val="3D0575D8"/>
    <w:rsid w:val="3DC70673"/>
    <w:rsid w:val="3E081F73"/>
    <w:rsid w:val="3E815142"/>
    <w:rsid w:val="3EB74DD6"/>
    <w:rsid w:val="3EDE6333"/>
    <w:rsid w:val="3F235AF6"/>
    <w:rsid w:val="3F3D4255"/>
    <w:rsid w:val="3F823162"/>
    <w:rsid w:val="3F9D7F9C"/>
    <w:rsid w:val="3FC419CD"/>
    <w:rsid w:val="3FD72AB4"/>
    <w:rsid w:val="3FE54227"/>
    <w:rsid w:val="400E620E"/>
    <w:rsid w:val="40186197"/>
    <w:rsid w:val="40BE59DF"/>
    <w:rsid w:val="40D043A1"/>
    <w:rsid w:val="40EF4A1C"/>
    <w:rsid w:val="411A4E32"/>
    <w:rsid w:val="414A36DB"/>
    <w:rsid w:val="41643D9A"/>
    <w:rsid w:val="42014BDB"/>
    <w:rsid w:val="423341AF"/>
    <w:rsid w:val="427A6373"/>
    <w:rsid w:val="433E3844"/>
    <w:rsid w:val="43AA0764"/>
    <w:rsid w:val="449E07B4"/>
    <w:rsid w:val="450A744D"/>
    <w:rsid w:val="45181E73"/>
    <w:rsid w:val="45C83899"/>
    <w:rsid w:val="45E85DC6"/>
    <w:rsid w:val="46584C1D"/>
    <w:rsid w:val="46712183"/>
    <w:rsid w:val="46872C73"/>
    <w:rsid w:val="46B53E1D"/>
    <w:rsid w:val="46B71915"/>
    <w:rsid w:val="46D75610"/>
    <w:rsid w:val="471D3D7D"/>
    <w:rsid w:val="472850AA"/>
    <w:rsid w:val="477E4B57"/>
    <w:rsid w:val="47870AD2"/>
    <w:rsid w:val="4823125B"/>
    <w:rsid w:val="48A37F64"/>
    <w:rsid w:val="49755955"/>
    <w:rsid w:val="497756A4"/>
    <w:rsid w:val="49784EBE"/>
    <w:rsid w:val="49CF398F"/>
    <w:rsid w:val="49EF1838"/>
    <w:rsid w:val="4A2A0BCD"/>
    <w:rsid w:val="4A5E657A"/>
    <w:rsid w:val="4AFF1B0B"/>
    <w:rsid w:val="4C41212D"/>
    <w:rsid w:val="4C633141"/>
    <w:rsid w:val="4CBD1C7E"/>
    <w:rsid w:val="4D1C440C"/>
    <w:rsid w:val="4D846C84"/>
    <w:rsid w:val="4D924EB8"/>
    <w:rsid w:val="4DB84E65"/>
    <w:rsid w:val="4DEC34D2"/>
    <w:rsid w:val="4E144204"/>
    <w:rsid w:val="4E3A3439"/>
    <w:rsid w:val="4E5B34C4"/>
    <w:rsid w:val="4E725EB5"/>
    <w:rsid w:val="4EB946C7"/>
    <w:rsid w:val="4F5421A0"/>
    <w:rsid w:val="4F6726AA"/>
    <w:rsid w:val="4FDC7050"/>
    <w:rsid w:val="4FFF2630"/>
    <w:rsid w:val="50294DFA"/>
    <w:rsid w:val="507208DE"/>
    <w:rsid w:val="513D1ECA"/>
    <w:rsid w:val="51475FBA"/>
    <w:rsid w:val="519B1528"/>
    <w:rsid w:val="51E7154B"/>
    <w:rsid w:val="52416EAD"/>
    <w:rsid w:val="52592449"/>
    <w:rsid w:val="526D37FE"/>
    <w:rsid w:val="52A20B21"/>
    <w:rsid w:val="52AB385D"/>
    <w:rsid w:val="52E55A8A"/>
    <w:rsid w:val="530A3743"/>
    <w:rsid w:val="53AC1D64"/>
    <w:rsid w:val="54612872"/>
    <w:rsid w:val="551E6CEE"/>
    <w:rsid w:val="56235919"/>
    <w:rsid w:val="572D0BE6"/>
    <w:rsid w:val="57454D4A"/>
    <w:rsid w:val="574D69E8"/>
    <w:rsid w:val="57702CEC"/>
    <w:rsid w:val="587F24DD"/>
    <w:rsid w:val="58D72319"/>
    <w:rsid w:val="58E82201"/>
    <w:rsid w:val="59016429"/>
    <w:rsid w:val="59034EBC"/>
    <w:rsid w:val="59CF3EC9"/>
    <w:rsid w:val="59D74AFF"/>
    <w:rsid w:val="5A05304A"/>
    <w:rsid w:val="5A7140A7"/>
    <w:rsid w:val="5A822A20"/>
    <w:rsid w:val="5A871436"/>
    <w:rsid w:val="5A8D1F32"/>
    <w:rsid w:val="5AA224B3"/>
    <w:rsid w:val="5B43479F"/>
    <w:rsid w:val="5B6C58F9"/>
    <w:rsid w:val="5BA87F9D"/>
    <w:rsid w:val="5C182A2D"/>
    <w:rsid w:val="5CE64699"/>
    <w:rsid w:val="5D042FB1"/>
    <w:rsid w:val="5E8819C0"/>
    <w:rsid w:val="5ECE1AC8"/>
    <w:rsid w:val="5F9A7BFD"/>
    <w:rsid w:val="5FA34D03"/>
    <w:rsid w:val="5FE1727C"/>
    <w:rsid w:val="5FF615BD"/>
    <w:rsid w:val="607F154B"/>
    <w:rsid w:val="611B4D6D"/>
    <w:rsid w:val="612C16F5"/>
    <w:rsid w:val="615D6682"/>
    <w:rsid w:val="61D40BDE"/>
    <w:rsid w:val="62142D5C"/>
    <w:rsid w:val="622A34BA"/>
    <w:rsid w:val="6245386F"/>
    <w:rsid w:val="62976B9E"/>
    <w:rsid w:val="62EE2739"/>
    <w:rsid w:val="63C95AEE"/>
    <w:rsid w:val="63F20007"/>
    <w:rsid w:val="658904F7"/>
    <w:rsid w:val="65BE0EDE"/>
    <w:rsid w:val="663B2AB1"/>
    <w:rsid w:val="665E7BD6"/>
    <w:rsid w:val="66787BFC"/>
    <w:rsid w:val="66C6438C"/>
    <w:rsid w:val="66EB13BC"/>
    <w:rsid w:val="67556B1F"/>
    <w:rsid w:val="6784541A"/>
    <w:rsid w:val="678C2521"/>
    <w:rsid w:val="680C4F78"/>
    <w:rsid w:val="684D1CB0"/>
    <w:rsid w:val="68C1444C"/>
    <w:rsid w:val="69110F2F"/>
    <w:rsid w:val="691F14A7"/>
    <w:rsid w:val="6A197ABD"/>
    <w:rsid w:val="6A772BBB"/>
    <w:rsid w:val="6A992781"/>
    <w:rsid w:val="6AAB4613"/>
    <w:rsid w:val="6AF723A7"/>
    <w:rsid w:val="6B067912"/>
    <w:rsid w:val="6C7F7D03"/>
    <w:rsid w:val="6D093F19"/>
    <w:rsid w:val="6D2154B9"/>
    <w:rsid w:val="6D75048C"/>
    <w:rsid w:val="6DCE7E95"/>
    <w:rsid w:val="6E44698E"/>
    <w:rsid w:val="6E563229"/>
    <w:rsid w:val="6F120BED"/>
    <w:rsid w:val="6F2861E7"/>
    <w:rsid w:val="6F392587"/>
    <w:rsid w:val="6F5763AC"/>
    <w:rsid w:val="6FCC43EA"/>
    <w:rsid w:val="70AE3508"/>
    <w:rsid w:val="70F335D9"/>
    <w:rsid w:val="71493231"/>
    <w:rsid w:val="715C2F64"/>
    <w:rsid w:val="71692C8E"/>
    <w:rsid w:val="71B7463E"/>
    <w:rsid w:val="71C501AC"/>
    <w:rsid w:val="71C83D2E"/>
    <w:rsid w:val="73045661"/>
    <w:rsid w:val="731968A9"/>
    <w:rsid w:val="73BC5F3C"/>
    <w:rsid w:val="73E5345B"/>
    <w:rsid w:val="74195465"/>
    <w:rsid w:val="745727B9"/>
    <w:rsid w:val="748A0029"/>
    <w:rsid w:val="759217FE"/>
    <w:rsid w:val="75B62578"/>
    <w:rsid w:val="75EC6866"/>
    <w:rsid w:val="76450F2B"/>
    <w:rsid w:val="76CF21EB"/>
    <w:rsid w:val="76EC6B38"/>
    <w:rsid w:val="77063E7A"/>
    <w:rsid w:val="772B4D77"/>
    <w:rsid w:val="77DB1739"/>
    <w:rsid w:val="77F6490B"/>
    <w:rsid w:val="78036F73"/>
    <w:rsid w:val="782F54F2"/>
    <w:rsid w:val="787E7C64"/>
    <w:rsid w:val="78B82B26"/>
    <w:rsid w:val="79075EAB"/>
    <w:rsid w:val="7975478C"/>
    <w:rsid w:val="79DF5001"/>
    <w:rsid w:val="79F63320"/>
    <w:rsid w:val="7A5028C5"/>
    <w:rsid w:val="7A582CE7"/>
    <w:rsid w:val="7AB25926"/>
    <w:rsid w:val="7AC771A2"/>
    <w:rsid w:val="7ACA7190"/>
    <w:rsid w:val="7AE471CD"/>
    <w:rsid w:val="7AF95CC7"/>
    <w:rsid w:val="7B3B1E3C"/>
    <w:rsid w:val="7BFA3A94"/>
    <w:rsid w:val="7C016BE2"/>
    <w:rsid w:val="7C0B5CB2"/>
    <w:rsid w:val="7C6170DE"/>
    <w:rsid w:val="7C703D67"/>
    <w:rsid w:val="7CC21429"/>
    <w:rsid w:val="7D551FF5"/>
    <w:rsid w:val="7D80447E"/>
    <w:rsid w:val="7DA63EE4"/>
    <w:rsid w:val="7E424949"/>
    <w:rsid w:val="7E62526E"/>
    <w:rsid w:val="7E6D1E51"/>
    <w:rsid w:val="7EF649F8"/>
    <w:rsid w:val="7FEF0AA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name="header"/>
    <w:lsdException w:qFormat="1" w:unhideWhenUsed="0" w:uiPriority="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27"/>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28"/>
    <w:qFormat/>
    <w:uiPriority w:val="0"/>
    <w:pPr>
      <w:keepNext/>
      <w:keepLines/>
      <w:spacing w:before="260" w:after="260" w:line="416" w:lineRule="auto"/>
      <w:outlineLvl w:val="1"/>
    </w:pPr>
    <w:rPr>
      <w:rFonts w:ascii="Calibri Light" w:hAnsi="Calibri Light"/>
      <w:b/>
      <w:bCs/>
      <w:sz w:val="32"/>
      <w:szCs w:val="32"/>
    </w:rPr>
  </w:style>
  <w:style w:type="paragraph" w:styleId="4">
    <w:name w:val="heading 3"/>
    <w:basedOn w:val="1"/>
    <w:next w:val="1"/>
    <w:link w:val="29"/>
    <w:qFormat/>
    <w:uiPriority w:val="0"/>
    <w:pPr>
      <w:keepNext/>
      <w:keepLines/>
      <w:spacing w:before="260" w:after="260" w:line="416" w:lineRule="auto"/>
      <w:outlineLvl w:val="2"/>
    </w:pPr>
    <w:rPr>
      <w:b/>
      <w:bCs/>
      <w:sz w:val="32"/>
      <w:szCs w:val="32"/>
    </w:rPr>
  </w:style>
  <w:style w:type="paragraph" w:styleId="5">
    <w:name w:val="heading 4"/>
    <w:basedOn w:val="1"/>
    <w:next w:val="1"/>
    <w:unhideWhenUsed/>
    <w:qFormat/>
    <w:uiPriority w:val="0"/>
    <w:pPr>
      <w:spacing w:before="100" w:beforeAutospacing="1" w:after="100" w:afterAutospacing="1"/>
      <w:jc w:val="left"/>
      <w:outlineLvl w:val="3"/>
    </w:pPr>
    <w:rPr>
      <w:rFonts w:hint="eastAsia" w:ascii="宋体" w:hAnsi="宋体" w:eastAsia="宋体" w:cs="宋体"/>
      <w:b/>
      <w:bCs/>
      <w:kern w:val="0"/>
      <w:sz w:val="24"/>
      <w:szCs w:val="24"/>
      <w:lang w:val="en-US" w:eastAsia="zh-CN" w:bidi="ar"/>
    </w:rPr>
  </w:style>
  <w:style w:type="character" w:default="1" w:styleId="15">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6">
    <w:name w:val="caption"/>
    <w:basedOn w:val="1"/>
    <w:next w:val="1"/>
    <w:link w:val="30"/>
    <w:qFormat/>
    <w:uiPriority w:val="0"/>
    <w:pPr>
      <w:adjustRightInd w:val="0"/>
      <w:snapToGrid w:val="0"/>
      <w:spacing w:line="300" w:lineRule="auto"/>
      <w:jc w:val="center"/>
    </w:pPr>
    <w:rPr>
      <w:rFonts w:ascii="Cambria" w:hAnsi="Cambria"/>
      <w:b/>
      <w:szCs w:val="20"/>
    </w:rPr>
  </w:style>
  <w:style w:type="paragraph" w:styleId="7">
    <w:name w:val="annotation text"/>
    <w:basedOn w:val="1"/>
    <w:link w:val="31"/>
    <w:qFormat/>
    <w:uiPriority w:val="0"/>
    <w:pPr>
      <w:jc w:val="left"/>
    </w:pPr>
  </w:style>
  <w:style w:type="paragraph" w:styleId="8">
    <w:name w:val="Body Text"/>
    <w:basedOn w:val="1"/>
    <w:link w:val="32"/>
    <w:qFormat/>
    <w:uiPriority w:val="0"/>
    <w:pPr>
      <w:ind w:left="289"/>
      <w:jc w:val="left"/>
    </w:pPr>
    <w:rPr>
      <w:rFonts w:ascii="宋体" w:hAnsi="宋体"/>
      <w:kern w:val="0"/>
      <w:sz w:val="26"/>
      <w:szCs w:val="26"/>
      <w:lang w:eastAsia="en-US"/>
    </w:rPr>
  </w:style>
  <w:style w:type="paragraph" w:styleId="9">
    <w:name w:val="toc 3"/>
    <w:basedOn w:val="1"/>
    <w:next w:val="1"/>
    <w:qFormat/>
    <w:uiPriority w:val="0"/>
    <w:pPr>
      <w:widowControl/>
      <w:spacing w:after="100" w:line="259" w:lineRule="auto"/>
      <w:ind w:left="440"/>
      <w:jc w:val="left"/>
    </w:pPr>
    <w:rPr>
      <w:kern w:val="0"/>
      <w:sz w:val="22"/>
    </w:rPr>
  </w:style>
  <w:style w:type="paragraph" w:styleId="10">
    <w:name w:val="Date"/>
    <w:basedOn w:val="1"/>
    <w:next w:val="1"/>
    <w:link w:val="33"/>
    <w:qFormat/>
    <w:uiPriority w:val="0"/>
    <w:pPr>
      <w:ind w:left="100" w:leftChars="2500"/>
    </w:pPr>
  </w:style>
  <w:style w:type="paragraph" w:styleId="11">
    <w:name w:val="footer"/>
    <w:basedOn w:val="1"/>
    <w:link w:val="34"/>
    <w:semiHidden/>
    <w:qFormat/>
    <w:uiPriority w:val="0"/>
    <w:pPr>
      <w:tabs>
        <w:tab w:val="center" w:pos="4153"/>
        <w:tab w:val="right" w:pos="8306"/>
      </w:tabs>
      <w:snapToGrid w:val="0"/>
      <w:jc w:val="left"/>
    </w:pPr>
    <w:rPr>
      <w:sz w:val="18"/>
      <w:szCs w:val="18"/>
    </w:rPr>
  </w:style>
  <w:style w:type="paragraph" w:styleId="12">
    <w:name w:val="header"/>
    <w:basedOn w:val="1"/>
    <w:link w:val="35"/>
    <w:semiHidden/>
    <w:qFormat/>
    <w:uiPriority w:val="0"/>
    <w:pPr>
      <w:pBdr>
        <w:bottom w:val="single" w:color="auto" w:sz="6" w:space="1"/>
      </w:pBdr>
      <w:tabs>
        <w:tab w:val="center" w:pos="4153"/>
        <w:tab w:val="right" w:pos="8306"/>
      </w:tabs>
      <w:snapToGrid w:val="0"/>
      <w:jc w:val="center"/>
    </w:pPr>
    <w:rPr>
      <w:sz w:val="18"/>
      <w:szCs w:val="18"/>
    </w:rPr>
  </w:style>
  <w:style w:type="paragraph" w:styleId="13">
    <w:name w:val="toc 2"/>
    <w:basedOn w:val="1"/>
    <w:next w:val="1"/>
    <w:qFormat/>
    <w:uiPriority w:val="0"/>
    <w:pPr>
      <w:tabs>
        <w:tab w:val="right" w:leader="dot" w:pos="8296"/>
      </w:tabs>
      <w:ind w:left="420" w:leftChars="200"/>
    </w:pPr>
    <w:rPr>
      <w:b/>
      <w:sz w:val="22"/>
    </w:rPr>
  </w:style>
  <w:style w:type="character" w:styleId="16">
    <w:name w:val="Strong"/>
    <w:basedOn w:val="15"/>
    <w:qFormat/>
    <w:uiPriority w:val="0"/>
    <w:rPr>
      <w:rFonts w:cs="Times New Roman"/>
      <w:b/>
      <w:sz w:val="2"/>
    </w:rPr>
  </w:style>
  <w:style w:type="character" w:styleId="17">
    <w:name w:val="page number"/>
    <w:qFormat/>
    <w:uiPriority w:val="0"/>
    <w:rPr>
      <w:rFonts w:cs="Times New Roman"/>
    </w:rPr>
  </w:style>
  <w:style w:type="character" w:styleId="18">
    <w:name w:val="FollowedHyperlink"/>
    <w:qFormat/>
    <w:uiPriority w:val="0"/>
    <w:rPr>
      <w:rFonts w:cs="Times New Roman"/>
      <w:color w:val="338DE6"/>
      <w:u w:val="none"/>
    </w:rPr>
  </w:style>
  <w:style w:type="character" w:styleId="19">
    <w:name w:val="Emphasis"/>
    <w:qFormat/>
    <w:uiPriority w:val="0"/>
    <w:rPr>
      <w:rFonts w:cs="Times New Roman"/>
    </w:rPr>
  </w:style>
  <w:style w:type="character" w:styleId="20">
    <w:name w:val="HTML Definition"/>
    <w:qFormat/>
    <w:uiPriority w:val="0"/>
    <w:rPr>
      <w:rFonts w:cs="Times New Roman"/>
    </w:rPr>
  </w:style>
  <w:style w:type="character" w:styleId="21">
    <w:name w:val="HTML Variable"/>
    <w:qFormat/>
    <w:uiPriority w:val="0"/>
    <w:rPr>
      <w:rFonts w:cs="Times New Roman"/>
      <w:sz w:val="2"/>
    </w:rPr>
  </w:style>
  <w:style w:type="character" w:styleId="22">
    <w:name w:val="Hyperlink"/>
    <w:qFormat/>
    <w:uiPriority w:val="0"/>
    <w:rPr>
      <w:rFonts w:cs="Times New Roman"/>
      <w:color w:val="0563C1"/>
      <w:u w:val="single"/>
    </w:rPr>
  </w:style>
  <w:style w:type="character" w:styleId="23">
    <w:name w:val="HTML Code"/>
    <w:qFormat/>
    <w:uiPriority w:val="0"/>
    <w:rPr>
      <w:rFonts w:ascii="monospace" w:hAnsi="monospace" w:cs="monospace"/>
      <w:sz w:val="21"/>
      <w:szCs w:val="21"/>
    </w:rPr>
  </w:style>
  <w:style w:type="character" w:styleId="24">
    <w:name w:val="HTML Cite"/>
    <w:qFormat/>
    <w:uiPriority w:val="0"/>
    <w:rPr>
      <w:rFonts w:cs="Times New Roman"/>
      <w:color w:val="3E6488"/>
    </w:rPr>
  </w:style>
  <w:style w:type="character" w:styleId="25">
    <w:name w:val="HTML Keyboard"/>
    <w:qFormat/>
    <w:uiPriority w:val="0"/>
    <w:rPr>
      <w:rFonts w:ascii="monospace" w:hAnsi="monospace" w:cs="monospace"/>
      <w:sz w:val="21"/>
      <w:szCs w:val="21"/>
    </w:rPr>
  </w:style>
  <w:style w:type="character" w:styleId="26">
    <w:name w:val="HTML Sample"/>
    <w:qFormat/>
    <w:uiPriority w:val="0"/>
    <w:rPr>
      <w:rFonts w:ascii="monospace" w:hAnsi="monospace" w:cs="monospace"/>
      <w:sz w:val="21"/>
      <w:szCs w:val="21"/>
    </w:rPr>
  </w:style>
  <w:style w:type="character" w:customStyle="1" w:styleId="27">
    <w:name w:val="标题 1 Char"/>
    <w:link w:val="2"/>
    <w:qFormat/>
    <w:locked/>
    <w:uiPriority w:val="0"/>
    <w:rPr>
      <w:rFonts w:ascii="Calibri" w:hAnsi="Calibri" w:eastAsia="宋体"/>
      <w:b/>
      <w:bCs/>
      <w:kern w:val="44"/>
      <w:sz w:val="44"/>
      <w:szCs w:val="44"/>
      <w:lang w:val="en-US" w:eastAsia="zh-CN" w:bidi="ar-SA"/>
    </w:rPr>
  </w:style>
  <w:style w:type="character" w:customStyle="1" w:styleId="28">
    <w:name w:val="标题 2 Char"/>
    <w:link w:val="3"/>
    <w:qFormat/>
    <w:locked/>
    <w:uiPriority w:val="0"/>
    <w:rPr>
      <w:rFonts w:ascii="Calibri Light" w:hAnsi="Calibri Light" w:eastAsia="宋体"/>
      <w:b/>
      <w:bCs/>
      <w:kern w:val="2"/>
      <w:sz w:val="32"/>
      <w:szCs w:val="32"/>
      <w:lang w:val="en-US" w:eastAsia="zh-CN" w:bidi="ar-SA"/>
    </w:rPr>
  </w:style>
  <w:style w:type="character" w:customStyle="1" w:styleId="29">
    <w:name w:val="标题 3 Char"/>
    <w:link w:val="4"/>
    <w:qFormat/>
    <w:locked/>
    <w:uiPriority w:val="0"/>
    <w:rPr>
      <w:rFonts w:ascii="Calibri" w:hAnsi="Calibri" w:eastAsia="宋体"/>
      <w:b/>
      <w:bCs/>
      <w:kern w:val="2"/>
      <w:sz w:val="32"/>
      <w:szCs w:val="32"/>
      <w:lang w:val="en-US" w:eastAsia="zh-CN" w:bidi="ar-SA"/>
    </w:rPr>
  </w:style>
  <w:style w:type="character" w:customStyle="1" w:styleId="30">
    <w:name w:val="题注 Char"/>
    <w:link w:val="6"/>
    <w:qFormat/>
    <w:locked/>
    <w:uiPriority w:val="0"/>
    <w:rPr>
      <w:rFonts w:ascii="Cambria" w:hAnsi="Cambria" w:eastAsia="宋体"/>
      <w:b/>
      <w:kern w:val="2"/>
      <w:sz w:val="21"/>
      <w:lang w:val="en-US" w:eastAsia="zh-CN" w:bidi="ar-SA"/>
    </w:rPr>
  </w:style>
  <w:style w:type="character" w:customStyle="1" w:styleId="31">
    <w:name w:val="批注文字 Char"/>
    <w:link w:val="7"/>
    <w:semiHidden/>
    <w:qFormat/>
    <w:locked/>
    <w:uiPriority w:val="0"/>
    <w:rPr>
      <w:rFonts w:ascii="Calibri" w:hAnsi="Calibri" w:eastAsia="宋体"/>
      <w:kern w:val="2"/>
      <w:sz w:val="21"/>
      <w:szCs w:val="22"/>
      <w:lang w:val="en-US" w:eastAsia="zh-CN" w:bidi="ar-SA"/>
    </w:rPr>
  </w:style>
  <w:style w:type="character" w:customStyle="1" w:styleId="32">
    <w:name w:val="正文文本 Char"/>
    <w:link w:val="8"/>
    <w:semiHidden/>
    <w:qFormat/>
    <w:locked/>
    <w:uiPriority w:val="0"/>
    <w:rPr>
      <w:rFonts w:ascii="宋体" w:hAnsi="宋体" w:eastAsia="宋体"/>
      <w:sz w:val="26"/>
      <w:szCs w:val="26"/>
      <w:lang w:val="en-US" w:eastAsia="en-US" w:bidi="ar-SA"/>
    </w:rPr>
  </w:style>
  <w:style w:type="character" w:customStyle="1" w:styleId="33">
    <w:name w:val="日期 Char"/>
    <w:link w:val="10"/>
    <w:semiHidden/>
    <w:qFormat/>
    <w:locked/>
    <w:uiPriority w:val="0"/>
    <w:rPr>
      <w:rFonts w:ascii="Calibri" w:hAnsi="Calibri" w:eastAsia="宋体"/>
      <w:kern w:val="2"/>
      <w:sz w:val="21"/>
      <w:szCs w:val="22"/>
      <w:lang w:val="en-US" w:eastAsia="zh-CN" w:bidi="ar-SA"/>
    </w:rPr>
  </w:style>
  <w:style w:type="character" w:customStyle="1" w:styleId="34">
    <w:name w:val="页脚 Char"/>
    <w:link w:val="11"/>
    <w:semiHidden/>
    <w:qFormat/>
    <w:locked/>
    <w:uiPriority w:val="0"/>
    <w:rPr>
      <w:rFonts w:ascii="Calibri" w:hAnsi="Calibri" w:eastAsia="宋体"/>
      <w:kern w:val="2"/>
      <w:sz w:val="18"/>
      <w:szCs w:val="18"/>
      <w:lang w:val="en-US" w:eastAsia="zh-CN" w:bidi="ar-SA"/>
    </w:rPr>
  </w:style>
  <w:style w:type="character" w:customStyle="1" w:styleId="35">
    <w:name w:val="页眉 Char"/>
    <w:link w:val="12"/>
    <w:semiHidden/>
    <w:qFormat/>
    <w:locked/>
    <w:uiPriority w:val="0"/>
    <w:rPr>
      <w:rFonts w:ascii="Calibri" w:hAnsi="Calibri" w:eastAsia="宋体"/>
      <w:kern w:val="2"/>
      <w:sz w:val="18"/>
      <w:szCs w:val="18"/>
      <w:lang w:val="en-US" w:eastAsia="zh-CN" w:bidi="ar-SA"/>
    </w:rPr>
  </w:style>
  <w:style w:type="character" w:customStyle="1" w:styleId="36">
    <w:name w:val="fontborder"/>
    <w:qFormat/>
    <w:uiPriority w:val="0"/>
    <w:rPr>
      <w:rFonts w:cs="Times New Roman"/>
      <w:bdr w:val="single" w:color="000000" w:sz="6" w:space="0"/>
    </w:rPr>
  </w:style>
  <w:style w:type="character" w:customStyle="1" w:styleId="37">
    <w:name w:val="YL表头 Char"/>
    <w:link w:val="38"/>
    <w:qFormat/>
    <w:locked/>
    <w:uiPriority w:val="0"/>
    <w:rPr>
      <w:rFonts w:ascii="Cambria" w:hAnsi="Cambria" w:eastAsia="宋体"/>
      <w:b/>
      <w:kern w:val="2"/>
      <w:sz w:val="21"/>
      <w:lang w:val="en-US" w:eastAsia="zh-CN" w:bidi="ar-SA"/>
    </w:rPr>
  </w:style>
  <w:style w:type="paragraph" w:customStyle="1" w:styleId="38">
    <w:name w:val="YL表头"/>
    <w:basedOn w:val="6"/>
    <w:link w:val="37"/>
    <w:qFormat/>
    <w:uiPriority w:val="0"/>
    <w:pPr>
      <w:adjustRightInd/>
      <w:snapToGrid/>
      <w:spacing w:beforeLines="30" w:afterLines="20" w:line="240" w:lineRule="auto"/>
    </w:pPr>
  </w:style>
  <w:style w:type="character" w:customStyle="1" w:styleId="39">
    <w:name w:val="fontstrikethrough"/>
    <w:qFormat/>
    <w:uiPriority w:val="0"/>
    <w:rPr>
      <w:rFonts w:cs="Times New Roman"/>
      <w:strike/>
    </w:rPr>
  </w:style>
  <w:style w:type="paragraph" w:customStyle="1" w:styleId="40">
    <w:name w:val="Heading 11"/>
    <w:basedOn w:val="1"/>
    <w:qFormat/>
    <w:uiPriority w:val="0"/>
    <w:pPr>
      <w:jc w:val="left"/>
      <w:outlineLvl w:val="1"/>
    </w:pPr>
    <w:rPr>
      <w:rFonts w:ascii="黑体" w:hAnsi="黑体" w:eastAsia="黑体"/>
      <w:kern w:val="0"/>
      <w:sz w:val="32"/>
      <w:szCs w:val="32"/>
      <w:lang w:eastAsia="en-US"/>
    </w:rPr>
  </w:style>
  <w:style w:type="paragraph" w:styleId="41">
    <w:name w:val="List Paragraph"/>
    <w:basedOn w:val="1"/>
    <w:qFormat/>
    <w:uiPriority w:val="34"/>
    <w:pPr>
      <w:ind w:firstLine="420" w:firstLineChars="200"/>
    </w:pPr>
  </w:style>
  <w:style w:type="paragraph" w:customStyle="1" w:styleId="42">
    <w:name w:val="TOC Heading1"/>
    <w:basedOn w:val="2"/>
    <w:next w:val="1"/>
    <w:qFormat/>
    <w:uiPriority w:val="0"/>
    <w:pPr>
      <w:widowControl/>
      <w:spacing w:before="240" w:after="0" w:line="259" w:lineRule="auto"/>
      <w:jc w:val="left"/>
      <w:outlineLvl w:val="9"/>
    </w:pPr>
    <w:rPr>
      <w:rFonts w:ascii="Calibri Light" w:hAnsi="Calibri Light"/>
      <w:b w:val="0"/>
      <w:bCs w:val="0"/>
      <w:color w:val="2E74B5"/>
      <w:kern w:val="0"/>
      <w:sz w:val="32"/>
      <w:szCs w:val="32"/>
    </w:rPr>
  </w:style>
  <w:style w:type="paragraph" w:customStyle="1" w:styleId="43">
    <w:name w:val="正文 New New New New New New New New New New New New New New New New New"/>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4">
    <w:name w:val="段"/>
    <w:qFormat/>
    <w:uiPriority w:val="0"/>
    <w:pPr>
      <w:autoSpaceDE w:val="0"/>
      <w:autoSpaceDN w:val="0"/>
      <w:ind w:firstLine="420" w:firstLineChars="200"/>
      <w:jc w:val="both"/>
    </w:pPr>
    <w:rPr>
      <w:rFonts w:ascii="宋体" w:hAnsi="Times New Roman" w:eastAsia="宋体" w:cs="Times New Roman"/>
      <w:kern w:val="2"/>
      <w:sz w:val="22"/>
      <w:szCs w:val="22"/>
      <w:lang w:val="en-US" w:eastAsia="zh-CN" w:bidi="ar-SA"/>
    </w:rPr>
  </w:style>
  <w:style w:type="paragraph" w:customStyle="1" w:styleId="45">
    <w:name w:val="章标题"/>
    <w:next w:val="44"/>
    <w:qFormat/>
    <w:uiPriority w:val="0"/>
    <w:pPr>
      <w:numPr>
        <w:ilvl w:val="0"/>
        <w:numId w:val="1"/>
      </w:numPr>
      <w:spacing w:beforeLines="100" w:afterLines="100"/>
      <w:ind w:left="142"/>
      <w:jc w:val="both"/>
      <w:outlineLvl w:val="1"/>
    </w:pPr>
    <w:rPr>
      <w:rFonts w:ascii="黑体" w:hAnsi="Times New Roman" w:eastAsia="黑体" w:cs="Times New Roman"/>
      <w:sz w:val="21"/>
      <w:lang w:val="en-US" w:eastAsia="zh-CN" w:bidi="ar-SA"/>
    </w:rPr>
  </w:style>
  <w:style w:type="paragraph" w:customStyle="1" w:styleId="46">
    <w:name w:val="Table Paragraph"/>
    <w:basedOn w:val="1"/>
    <w:qFormat/>
    <w:uiPriority w:val="1"/>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header" Target="header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3.jpeg"/><Relationship Id="rId10" Type="http://schemas.openxmlformats.org/officeDocument/2006/relationships/image" Target="media/image2.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Null</Company>
  <Pages>20</Pages>
  <Words>12552</Words>
  <Characters>13049</Characters>
  <Lines>77</Lines>
  <Paragraphs>21</Paragraphs>
  <TotalTime>0</TotalTime>
  <ScaleCrop>false</ScaleCrop>
  <LinksUpToDate>false</LinksUpToDate>
  <CharactersWithSpaces>13218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2018-10-18T05:10:00Z</dcterms:created>
  <dc:creator>china</dc:creator>
  <cp:lastModifiedBy>特宏阀门董事长助理</cp:lastModifiedBy>
  <dcterms:modified xsi:type="dcterms:W3CDTF">2026-09-28T02:06:04Z</dcterms:modified>
  <dc:title>宁波市北仑海伯精密机械制造有限公司</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0C957699E6044C7EB835C3806B36B7FF_13</vt:lpwstr>
  </property>
  <property fmtid="{D5CDD505-2E9C-101B-9397-08002B2CF9AE}" pid="4" name="KSOTemplateDocerSaveRecord">
    <vt:lpwstr>eyJoZGlkIjoiMDIyNGJiZWNmMzQ1OTliYzI3M2M3MGMxYmFjZjQ1MGYiLCJ1c2VySWQiOiIxMDY1NzMxNTQyIn0=</vt:lpwstr>
  </property>
</Properties>
</file>